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
        <w:spacing w:line="360" w:lineRule="auto"/>
        <w:jc w:val="center"/>
        <w:rPr>
          <w:sz w:val="36"/>
          <w:szCs w:val="36"/>
        </w:rPr>
      </w:pPr>
      <w:bookmarkStart w:id="21" w:name="_GoBack"/>
      <w:bookmarkEnd w:id="21"/>
    </w:p>
    <w:p>
      <w:pPr>
        <w:jc w:val="center"/>
        <w:rPr>
          <w:rFonts w:hint="eastAsia" w:ascii="微软雅黑" w:hAnsi="微软雅黑" w:eastAsia="微软雅黑" w:cs="宋体"/>
          <w:b/>
          <w:bCs/>
          <w:color w:val="1F497D"/>
          <w:sz w:val="52"/>
          <w:szCs w:val="52"/>
        </w:rPr>
      </w:pPr>
      <w:r>
        <w:rPr>
          <w:rFonts w:hint="eastAsia" w:ascii="微软雅黑" w:hAnsi="微软雅黑" w:eastAsia="微软雅黑" w:cs="宋体"/>
          <w:b/>
          <w:bCs/>
          <w:color w:val="1F497D"/>
          <w:sz w:val="52"/>
          <w:szCs w:val="52"/>
          <w:lang w:eastAsia="zh-CN"/>
        </w:rPr>
        <w:t>田田阅读</w:t>
      </w:r>
      <w:r>
        <w:rPr>
          <w:rFonts w:hint="eastAsia" w:ascii="微软雅黑" w:hAnsi="微软雅黑" w:eastAsia="微软雅黑" w:cs="宋体"/>
          <w:b/>
          <w:bCs/>
          <w:color w:val="1F497D"/>
          <w:sz w:val="52"/>
          <w:szCs w:val="52"/>
        </w:rPr>
        <w:t>解决方案</w:t>
      </w:r>
    </w:p>
    <w:p>
      <w:pPr>
        <w:spacing w:before="100" w:beforeAutospacing="1" w:after="100" w:afterAutospacing="1"/>
        <w:rPr>
          <w:rFonts w:ascii="微软雅黑" w:hAnsi="微软雅黑" w:eastAsia="微软雅黑" w:cs="Arial"/>
          <w:b/>
          <w:color w:val="1F497D"/>
          <w:sz w:val="48"/>
          <w:szCs w:val="48"/>
          <w:u w:val="single"/>
        </w:rPr>
      </w:pPr>
    </w:p>
    <w:p>
      <w:pPr>
        <w:pStyle w:val="28"/>
        <w:rPr>
          <w:rFonts w:ascii="微软雅黑" w:hAnsi="微软雅黑" w:eastAsia="微软雅黑" w:cs="Arial"/>
          <w:b/>
          <w:color w:val="1F497D"/>
          <w:kern w:val="2"/>
          <w:sz w:val="32"/>
          <w:szCs w:val="32"/>
        </w:rPr>
      </w:pPr>
    </w:p>
    <w:p>
      <w:pPr>
        <w:pStyle w:val="28"/>
        <w:rPr>
          <w:rFonts w:ascii="微软雅黑" w:hAnsi="微软雅黑" w:eastAsia="微软雅黑"/>
          <w:sz w:val="72"/>
          <w:szCs w:val="72"/>
        </w:rPr>
      </w:pPr>
    </w:p>
    <w:p>
      <w:pPr>
        <w:pStyle w:val="28"/>
        <w:ind w:firstLine="3240" w:firstLineChars="900"/>
        <w:jc w:val="both"/>
        <w:rPr>
          <w:rFonts w:ascii="微软雅黑" w:hAnsi="微软雅黑" w:eastAsia="微软雅黑"/>
          <w:sz w:val="36"/>
          <w:szCs w:val="36"/>
        </w:rPr>
      </w:pPr>
    </w:p>
    <w:p>
      <w:pPr>
        <w:rPr>
          <w:rFonts w:ascii="微软雅黑" w:hAnsi="微软雅黑" w:eastAsia="微软雅黑" w:cs="宋体"/>
          <w:b/>
          <w:bCs/>
          <w:color w:val="1F497D"/>
          <w:szCs w:val="21"/>
        </w:rPr>
      </w:pPr>
      <w:r>
        <w:rPr>
          <w:rFonts w:ascii="微软雅黑" w:hAnsi="微软雅黑" w:eastAsia="微软雅黑"/>
          <w:sz w:val="36"/>
          <w:szCs w:val="36"/>
        </w:rPr>
        <w:drawing>
          <wp:inline distT="0" distB="0" distL="0" distR="0">
            <wp:extent cx="2743200" cy="939800"/>
            <wp:effectExtent l="0" t="0" r="0" b="12700"/>
            <wp:docPr id="2" name="图片 5"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logo.jpg"/>
                    <pic:cNvPicPr>
                      <a:picLocks noChangeAspect="1" noChangeArrowheads="1"/>
                    </pic:cNvPicPr>
                  </pic:nvPicPr>
                  <pic:blipFill>
                    <a:blip r:embed="rId5" cstate="print"/>
                    <a:srcRect/>
                    <a:stretch>
                      <a:fillRect/>
                    </a:stretch>
                  </pic:blipFill>
                  <pic:spPr>
                    <a:xfrm>
                      <a:off x="0" y="0"/>
                      <a:ext cx="2743200" cy="939800"/>
                    </a:xfrm>
                    <a:prstGeom prst="rect">
                      <a:avLst/>
                    </a:prstGeom>
                    <a:noFill/>
                    <a:ln w="9525">
                      <a:noFill/>
                      <a:miter lim="800000"/>
                      <a:headEnd/>
                      <a:tailEnd/>
                    </a:ln>
                  </pic:spPr>
                </pic:pic>
              </a:graphicData>
            </a:graphic>
          </wp:inline>
        </w:drawing>
      </w:r>
    </w:p>
    <w:p>
      <w:pPr>
        <w:rPr>
          <w:rFonts w:ascii="微软雅黑" w:hAnsi="微软雅黑" w:eastAsia="微软雅黑" w:cs="宋体"/>
          <w:b/>
          <w:bCs/>
          <w:color w:val="1F497D"/>
          <w:szCs w:val="21"/>
        </w:rPr>
      </w:pPr>
    </w:p>
    <w:p>
      <w:pPr>
        <w:rPr>
          <w:rFonts w:ascii="微软雅黑" w:hAnsi="微软雅黑" w:eastAsia="微软雅黑" w:cs="宋体"/>
          <w:b/>
          <w:bCs/>
          <w:color w:val="1F497D"/>
          <w:sz w:val="22"/>
          <w:szCs w:val="22"/>
        </w:rPr>
      </w:pPr>
      <w:r>
        <w:rPr>
          <w:rFonts w:hint="eastAsia" w:ascii="微软雅黑" w:hAnsi="微软雅黑" w:eastAsia="微软雅黑" w:cs="宋体"/>
          <w:b/>
          <w:bCs/>
          <w:color w:val="1F497D"/>
          <w:sz w:val="22"/>
          <w:szCs w:val="22"/>
        </w:rPr>
        <w:t>地址：武汉市东湖高新开发区光谷大道关南园三路1号</w:t>
      </w:r>
    </w:p>
    <w:p>
      <w:pPr>
        <w:jc w:val="left"/>
        <w:rPr>
          <w:rFonts w:ascii="微软雅黑" w:hAnsi="微软雅黑" w:eastAsia="微软雅黑" w:cs="宋体"/>
          <w:b/>
          <w:bCs/>
          <w:color w:val="1F497D"/>
          <w:sz w:val="22"/>
          <w:szCs w:val="22"/>
        </w:rPr>
      </w:pPr>
      <w:r>
        <w:rPr>
          <w:rFonts w:hint="eastAsia" w:ascii="微软雅黑" w:hAnsi="微软雅黑" w:eastAsia="微软雅黑" w:cs="宋体"/>
          <w:b/>
          <w:bCs/>
          <w:color w:val="1F497D"/>
          <w:sz w:val="22"/>
          <w:szCs w:val="22"/>
        </w:rPr>
        <w:t>邮编：410074</w:t>
      </w:r>
    </w:p>
    <w:p>
      <w:pPr>
        <w:jc w:val="left"/>
        <w:rPr>
          <w:rFonts w:hint="eastAsia" w:ascii="微软雅黑" w:hAnsi="微软雅黑" w:eastAsia="微软雅黑" w:cs="宋体"/>
          <w:b/>
          <w:bCs/>
          <w:color w:val="1F497D"/>
          <w:sz w:val="22"/>
          <w:szCs w:val="22"/>
          <w:lang w:val="en-US" w:eastAsia="zh-CN"/>
        </w:rPr>
      </w:pPr>
      <w:r>
        <w:rPr>
          <w:rFonts w:hint="eastAsia" w:ascii="微软雅黑" w:hAnsi="微软雅黑" w:eastAsia="微软雅黑" w:cs="宋体"/>
          <w:b/>
          <w:bCs/>
          <w:color w:val="1F497D"/>
          <w:sz w:val="22"/>
          <w:szCs w:val="22"/>
        </w:rPr>
        <w:t>联系人：</w:t>
      </w:r>
      <w:r>
        <w:rPr>
          <w:rFonts w:hint="eastAsia" w:ascii="微软雅黑" w:hAnsi="微软雅黑" w:eastAsia="微软雅黑" w:cs="宋体"/>
          <w:b/>
          <w:bCs/>
          <w:color w:val="1F497D"/>
          <w:sz w:val="22"/>
          <w:szCs w:val="22"/>
          <w:lang w:val="en-US" w:eastAsia="zh-CN"/>
        </w:rPr>
        <w:t xml:space="preserve"> </w:t>
      </w:r>
      <w:r>
        <w:rPr>
          <w:rFonts w:hint="eastAsia" w:ascii="微软雅黑" w:hAnsi="微软雅黑" w:eastAsia="微软雅黑" w:cs="宋体"/>
          <w:b/>
          <w:bCs/>
          <w:color w:val="1F497D"/>
          <w:sz w:val="22"/>
          <w:szCs w:val="22"/>
        </w:rPr>
        <w:t xml:space="preserve">  </w:t>
      </w:r>
      <w:r>
        <w:rPr>
          <w:rFonts w:hint="eastAsia" w:ascii="微软雅黑" w:hAnsi="微软雅黑" w:eastAsia="微软雅黑" w:cs="宋体"/>
          <w:b/>
          <w:bCs/>
          <w:color w:val="1F497D"/>
          <w:sz w:val="22"/>
          <w:szCs w:val="22"/>
          <w:lang w:val="en-US" w:eastAsia="zh-CN"/>
        </w:rPr>
        <w:t xml:space="preserve"> </w:t>
      </w:r>
    </w:p>
    <w:p>
      <w:pPr>
        <w:jc w:val="left"/>
        <w:rPr>
          <w:rFonts w:ascii="微软雅黑" w:hAnsi="微软雅黑" w:eastAsia="微软雅黑" w:cs="宋体"/>
          <w:b/>
          <w:bCs/>
          <w:color w:val="1F497D"/>
          <w:sz w:val="22"/>
          <w:szCs w:val="22"/>
        </w:rPr>
      </w:pPr>
      <w:r>
        <w:rPr>
          <w:rFonts w:hint="eastAsia" w:ascii="微软雅黑" w:hAnsi="微软雅黑" w:eastAsia="微软雅黑" w:cs="宋体"/>
          <w:b/>
          <w:bCs/>
          <w:color w:val="1F497D"/>
          <w:sz w:val="22"/>
          <w:szCs w:val="22"/>
        </w:rPr>
        <w:t>手机：</w:t>
      </w:r>
      <w:r>
        <w:rPr>
          <w:rFonts w:hint="eastAsia" w:ascii="微软雅黑" w:hAnsi="微软雅黑" w:eastAsia="微软雅黑" w:cs="宋体"/>
          <w:b/>
          <w:bCs/>
          <w:color w:val="1F497D"/>
          <w:sz w:val="22"/>
          <w:szCs w:val="22"/>
          <w:lang w:val="en-US" w:eastAsia="zh-CN"/>
        </w:rPr>
        <w:t xml:space="preserve"> </w:t>
      </w:r>
    </w:p>
    <w:p>
      <w:pPr>
        <w:jc w:val="left"/>
        <w:rPr>
          <w:rFonts w:ascii="微软雅黑" w:hAnsi="微软雅黑" w:eastAsia="微软雅黑" w:cs="宋体"/>
          <w:b/>
          <w:bCs/>
          <w:color w:val="1F497D"/>
          <w:sz w:val="22"/>
          <w:szCs w:val="22"/>
        </w:rPr>
      </w:pPr>
      <w:r>
        <w:rPr>
          <w:rFonts w:hint="eastAsia" w:ascii="微软雅黑" w:hAnsi="微软雅黑" w:eastAsia="微软雅黑" w:cs="宋体"/>
          <w:b/>
          <w:bCs/>
          <w:color w:val="1F497D"/>
          <w:sz w:val="22"/>
          <w:szCs w:val="22"/>
        </w:rPr>
        <w:t>邮箱：</w:t>
      </w:r>
      <w:r>
        <w:rPr>
          <w:rFonts w:hint="eastAsia" w:ascii="微软雅黑" w:hAnsi="微软雅黑" w:eastAsia="微软雅黑" w:cs="宋体"/>
          <w:b/>
          <w:bCs/>
          <w:color w:val="1F497D"/>
          <w:sz w:val="22"/>
          <w:szCs w:val="22"/>
          <w:lang w:val="en-US" w:eastAsia="zh-CN"/>
        </w:rPr>
        <w:t xml:space="preserve">  </w:t>
      </w:r>
    </w:p>
    <w:p>
      <w:pPr>
        <w:jc w:val="left"/>
        <w:rPr>
          <w:rFonts w:ascii="微软雅黑" w:hAnsi="微软雅黑" w:eastAsia="微软雅黑" w:cs="宋体"/>
          <w:b/>
          <w:bCs/>
          <w:color w:val="1F497D"/>
          <w:sz w:val="22"/>
          <w:szCs w:val="22"/>
        </w:rPr>
      </w:pPr>
      <w:r>
        <w:rPr>
          <w:rFonts w:hint="eastAsia" w:ascii="微软雅黑" w:hAnsi="微软雅黑" w:eastAsia="微软雅黑" w:cs="宋体"/>
          <w:b/>
          <w:bCs/>
          <w:color w:val="1F497D"/>
          <w:sz w:val="22"/>
          <w:szCs w:val="22"/>
        </w:rPr>
        <w:t>网址：www.</w:t>
      </w:r>
      <w:r>
        <w:rPr>
          <w:rFonts w:hint="eastAsia" w:ascii="微软雅黑" w:hAnsi="微软雅黑" w:eastAsia="微软雅黑" w:cs="宋体"/>
          <w:b/>
          <w:bCs/>
          <w:color w:val="1F497D"/>
          <w:sz w:val="22"/>
          <w:szCs w:val="22"/>
          <w:lang w:val="en-US" w:eastAsia="zh-CN"/>
        </w:rPr>
        <w:t>ytzhihui</w:t>
      </w:r>
      <w:r>
        <w:rPr>
          <w:rFonts w:hint="eastAsia" w:ascii="微软雅黑" w:hAnsi="微软雅黑" w:eastAsia="微软雅黑" w:cs="宋体"/>
          <w:b/>
          <w:bCs/>
          <w:color w:val="1F497D"/>
          <w:sz w:val="22"/>
          <w:szCs w:val="22"/>
        </w:rPr>
        <w:t>.com</w:t>
      </w:r>
    </w:p>
    <w:p>
      <w:pPr>
        <w:pStyle w:val="8"/>
        <w:tabs>
          <w:tab w:val="right" w:leader="dot" w:pos="8300"/>
        </w:tabs>
        <w:jc w:val="center"/>
        <w:rPr>
          <w:rFonts w:hint="eastAsia" w:ascii="微软雅黑" w:hAnsi="微软雅黑" w:eastAsia="微软雅黑"/>
          <w:color w:val="44546A" w:themeColor="text2"/>
          <w:sz w:val="44"/>
          <w:lang w:val="en-US" w:eastAsia="zh-CN"/>
          <w14:textFill>
            <w14:solidFill>
              <w14:schemeClr w14:val="tx2"/>
            </w14:solidFill>
          </w14:textFill>
        </w:rPr>
      </w:pPr>
    </w:p>
    <w:p>
      <w:pPr>
        <w:pStyle w:val="3"/>
        <w:numPr>
          <w:ilvl w:val="0"/>
          <w:numId w:val="1"/>
        </w:numPr>
        <w:rPr>
          <w:rFonts w:hint="eastAsia"/>
          <w:lang w:eastAsia="zh-CN"/>
        </w:rPr>
      </w:pPr>
      <w:r>
        <w:rPr>
          <w:rFonts w:hint="eastAsia"/>
          <w:lang w:eastAsia="zh-CN"/>
        </w:rPr>
        <w:t>公司简介</w:t>
      </w:r>
    </w:p>
    <w:p>
      <w:pPr>
        <w:widowControl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湖北三新文化传媒有限公司成立于1998年，注册资金8053万人民币，拥有员工800余人，年产值约10亿码洋，公司总部位于武汉市东湖高新技术开发区，拥有凌家山、黄龙山两大运营基地。公司下设营销中心、研发中心、书目中心、采购中心等部门，拥有武汉鼎方信息技术有限公司、武汉云图天翼数字传媒有限公司（卷藏信息）等全资或控股子公司，形成了以馆配图书、教材、期刊、电子书、音像制品等各类出版物销售为主营业务，以馆藏信息分析、数字出版技术、图书出版、图书文化软件以及平台开发等特色服务为支撑业务的优势产业群。公司通过了ISO9001质量管理认证体系、OHSAS18001职业健康安全管理认证体系、ISO14001环境管理体系认证，并连续5年获得图书馆报颁发的“全国优秀馆配商”，拥有由武汉企业信用管理服务中心颁发的“AAA企业信用等级证书”。</w:t>
      </w:r>
    </w:p>
    <w:p>
      <w:pPr>
        <w:widowControl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历经19年跨越式发展，公司在主营业务和特色产业发展方面取得了突飞猛进的进步，经营规模居全国同行业前列，成为全国服务和信誉最好的图书发行公司之一，获得上下游客户授予的“优秀经销商”、“优秀合作伙伴”等荣誉称号300余项。</w:t>
      </w:r>
    </w:p>
    <w:p>
      <w:pPr>
        <w:widowControl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在主营业务发展方面，公司与上游</w:t>
      </w:r>
      <w:r>
        <w:rPr>
          <w:rFonts w:hint="eastAsia" w:ascii="宋体" w:hAnsi="宋体" w:eastAsia="宋体" w:cs="宋体"/>
          <w:color w:val="000000"/>
          <w:sz w:val="24"/>
          <w:szCs w:val="24"/>
        </w:rPr>
        <w:t>800</w:t>
      </w:r>
      <w:r>
        <w:rPr>
          <w:rFonts w:hint="eastAsia" w:ascii="宋体" w:hAnsi="宋体" w:eastAsia="宋体" w:cs="宋体"/>
          <w:sz w:val="24"/>
          <w:szCs w:val="24"/>
        </w:rPr>
        <w:t>多家出版机构和下游2000余家高等院校、公共图书馆、企事业单位图书馆等建立了良好的业务关系；我公司与全国800多家出版机构有着直接的业务往来，是八大社联合授权的核心经销商，是高等教育出版社在全国所有民营书商中唯一一家代理商，是人民出版社发行工作委员会成员。我公司在武汉拥有大型的仓储加工和物流基地，可以为出版社客户提供仓储式销售服务，为图书馆客户提供现采以及全流程加工服务。公司在全国31个省市自治区建立了3个分公司、8个事业部、8个办事处、5个工作站，依托公司精细化的管理和服务，具备了为客户提供更有质量的“本地化”服务的能力。</w:t>
      </w:r>
      <w:r>
        <w:rPr>
          <w:rFonts w:hint="eastAsia" w:ascii="宋体" w:hAnsi="宋体" w:eastAsia="宋体" w:cs="宋体"/>
          <w:sz w:val="24"/>
          <w:szCs w:val="24"/>
        </w:rPr>
        <w:br w:type="textWrapping"/>
      </w:r>
      <w:r>
        <w:rPr>
          <w:rFonts w:hint="eastAsia" w:ascii="宋体" w:hAnsi="宋体" w:eastAsia="宋体" w:cs="宋体"/>
          <w:sz w:val="24"/>
          <w:szCs w:val="24"/>
        </w:rPr>
        <w:t xml:space="preserve">    在运用信息软件技术改造传统的产业方面，公司也已走在同行业前列；依托馆藏信息分析，大力推进国内馆配市场数据收集、分析和研究，先后完成了国内1000余家图书馆的馆藏数据收集，累积馆藏书目数据1.75亿余条。在已拥有大量中文图书馆藏信息的基础上，通过自主研发的“JC中文图书馆藏分析系统”，公司已经为300多所高校和200多家出版社做了详细的馆藏结构分析，成功打造了面向图书馆与出版社的信</w:t>
      </w:r>
      <w:r>
        <w:rPr>
          <w:rFonts w:hint="eastAsia" w:ascii="宋体" w:hAnsi="宋体" w:eastAsia="宋体" w:cs="宋体"/>
          <w:color w:val="auto"/>
          <w:sz w:val="24"/>
          <w:szCs w:val="24"/>
        </w:rPr>
        <w:t>息</w:t>
      </w:r>
      <w:r>
        <w:rPr>
          <w:rFonts w:hint="eastAsia" w:ascii="宋体" w:hAnsi="宋体" w:eastAsia="宋体" w:cs="宋体"/>
          <w:sz w:val="24"/>
          <w:szCs w:val="24"/>
        </w:rPr>
        <w:t>咨询服务产业。</w:t>
      </w:r>
    </w:p>
    <w:p>
      <w:pPr>
        <w:widowControl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我公司在图书馆行业的不断摸索中，深度调研“图书馆+互联网”的需求与可行性，以及下一代图书馆服务平台作为一种软件基础设施对“图书馆+互联网”的支撑作用。为图书馆以“+互联网”的思维发展、提升与转型，为下一代图书馆服务平台的建设、选型、改进，倾力打造了云田智慧图书馆云平台——一站式读者服务平台。平台以“资源+服务+硬件”三位一体的模式，涵盖包括田田阅读电子书、教辅题库、化工出版社专区、三新书目库等资源模块，云田购、成蹊智能图书管理系统、ERMS电子资源管理系统、大数据中心、个人桌面等服务模块，以及PC端、WAP端、微信端、APP、移动数字大屏等多种终端硬件。深度融合公有云和私有云，整合资源应用和服务应用于一体，有机结合移动图书馆、手机APP、PC、微信等多个端口，通过多屏融合满足用户多元化、个性化和实效性、社交性的需求，实现图书馆管理高效，功能优化。在充分整合行业资源的基础上，将极大改变图书出版行业发展生态，实现图书出版行业创新发展。</w:t>
      </w:r>
      <w:r>
        <w:rPr>
          <w:rFonts w:hint="eastAsia" w:ascii="宋体" w:hAnsi="宋体" w:eastAsia="宋体" w:cs="宋体"/>
          <w:sz w:val="24"/>
          <w:szCs w:val="24"/>
        </w:rPr>
        <w:br w:type="textWrapping"/>
      </w:r>
      <w:r>
        <w:rPr>
          <w:rFonts w:hint="eastAsia" w:ascii="宋体" w:hAnsi="宋体" w:eastAsia="宋体" w:cs="宋体"/>
          <w:sz w:val="24"/>
          <w:szCs w:val="24"/>
        </w:rPr>
        <w:t xml:space="preserve">    针对地方版图书地域分布广、收集难度大、信息流通慢等问题，公司于2004年在行业内首创“全国地方版图书博览会”，开发联机编目以及供应链管理系统，在武汉凌家山基地开设了地方版样书库，集中了300多家地方出版社样书资源，收集了各地方出版社的图书样本达40余万种。公司连续13年高举地方版图书发展的旗帜，有力地带动了地方版图书的快速发展。公司连续12年出资举办“馆藏与出版”论坛、连续6年举办“图书馆馆长以及高级业务骨干培训班”，在整合文献资源建设与利用、打通出版社与图书馆的体制壁垒、培养图书文化产业高端人才，促进出版文化产业的繁荣与发展等方面发挥了积极的作用。</w:t>
      </w:r>
    </w:p>
    <w:p>
      <w:pPr>
        <w:widowControl w:val="0"/>
        <w:spacing w:line="360" w:lineRule="auto"/>
        <w:ind w:firstLine="480" w:firstLineChars="200"/>
        <w:jc w:val="both"/>
        <w:rPr>
          <w:rFonts w:hint="eastAsia"/>
        </w:rPr>
      </w:pPr>
      <w:r>
        <w:rPr>
          <w:rFonts w:hint="eastAsia" w:ascii="宋体" w:hAnsi="宋体" w:eastAsia="宋体" w:cs="宋体"/>
          <w:sz w:val="24"/>
          <w:szCs w:val="24"/>
        </w:rPr>
        <w:t>以客户的需求作为我们发展的动力，以将中国文化播撒到世界的每个角落为己任，湖北三新文化传媒有限公司通过不断地加强服务意识、改革创新，彻底打通出版产业链上出版社与图书馆之间、作者与读者之间的产业关联，为读者找好书，为好书找读者，并通过数字化的服务方式，大幅提升公司的服务层次，将公司传统的“桥梁式”地位提升至出版产业链中不可或缺的关键一环，力争打造中国文化产业亮点，实现跨越式发展。</w:t>
      </w:r>
    </w:p>
    <w:p>
      <w:pPr>
        <w:pStyle w:val="3"/>
        <w:rPr>
          <w:rFonts w:hint="eastAsia"/>
          <w:lang w:val="en-US" w:eastAsia="zh-CN"/>
        </w:rPr>
      </w:pPr>
      <w:r>
        <w:rPr>
          <w:rFonts w:hint="eastAsia"/>
          <w:lang w:val="en-US" w:eastAsia="zh-CN"/>
        </w:rPr>
        <w:t>二、我公司的优势</w:t>
      </w:r>
    </w:p>
    <w:p>
      <w:pPr>
        <w:widowControl w:val="0"/>
        <w:spacing w:line="360" w:lineRule="auto"/>
        <w:ind w:firstLine="482" w:firstLineChars="200"/>
        <w:jc w:val="both"/>
        <w:rPr>
          <w:rFonts w:hint="eastAsia" w:ascii="宋体" w:hAnsi="宋体" w:eastAsia="宋体" w:cs="宋体"/>
          <w:b/>
          <w:sz w:val="24"/>
          <w:szCs w:val="24"/>
          <w:lang w:val="zh-CN"/>
        </w:rPr>
      </w:pPr>
      <w:r>
        <w:rPr>
          <w:rFonts w:hint="eastAsia" w:ascii="宋体" w:hAnsi="宋体" w:eastAsia="宋体" w:cs="宋体"/>
          <w:b/>
          <w:sz w:val="24"/>
          <w:szCs w:val="24"/>
          <w:lang w:val="zh-CN"/>
        </w:rPr>
        <w:t>专业优势</w:t>
      </w:r>
    </w:p>
    <w:p>
      <w:pPr>
        <w:widowControl w:val="0"/>
        <w:spacing w:line="360" w:lineRule="auto"/>
        <w:ind w:firstLine="480" w:firstLineChars="200"/>
        <w:jc w:val="both"/>
        <w:rPr>
          <w:rFonts w:hint="eastAsia" w:ascii="宋体" w:hAnsi="宋体" w:eastAsia="宋体" w:cs="宋体"/>
          <w:strike/>
          <w:sz w:val="24"/>
          <w:szCs w:val="24"/>
        </w:rPr>
      </w:pPr>
      <w:r>
        <w:rPr>
          <w:rFonts w:hint="eastAsia" w:ascii="宋体" w:hAnsi="宋体" w:eastAsia="宋体" w:cs="宋体"/>
          <w:sz w:val="24"/>
          <w:szCs w:val="24"/>
        </w:rPr>
        <w:t>我公司致力于高校图书馆用书，以学术专业类图书为主，流转品种50万余种，长期备货品种近30万余种。图书供应范围完全可满足采购人需要，我公司经营适合图书馆的图书品种可达到当年全国出版机构图书的98%以上，涉及22个基本大类。</w:t>
      </w:r>
    </w:p>
    <w:p>
      <w:pPr>
        <w:widowControl w:val="0"/>
        <w:spacing w:line="360" w:lineRule="auto"/>
        <w:ind w:firstLine="482" w:firstLineChars="200"/>
        <w:jc w:val="both"/>
        <w:rPr>
          <w:rFonts w:hint="eastAsia" w:ascii="宋体" w:hAnsi="宋体" w:eastAsia="宋体" w:cs="宋体"/>
          <w:b/>
          <w:sz w:val="24"/>
          <w:szCs w:val="24"/>
          <w:lang w:val="zh-CN"/>
        </w:rPr>
      </w:pPr>
      <w:r>
        <w:rPr>
          <w:rFonts w:hint="eastAsia" w:ascii="宋体" w:hAnsi="宋体" w:eastAsia="宋体" w:cs="宋体"/>
          <w:b/>
          <w:sz w:val="24"/>
          <w:szCs w:val="24"/>
          <w:lang w:val="zh-CN"/>
        </w:rPr>
        <w:t>行业优势</w:t>
      </w:r>
    </w:p>
    <w:p>
      <w:pPr>
        <w:widowControl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我公司本着“经营创新、规范管理、连锁销售”的发展战略，快速成长为具有雄厚实力和良好品牌形象的专业图书发行企业，广泛服务于以高校图书馆、公共图书馆、教材科、科研机构为主的客户群体。</w:t>
      </w:r>
    </w:p>
    <w:p>
      <w:pPr>
        <w:widowControl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以京沪版为主力品种和供货旗舰，突出地方版、大学版，立足湖北，发挥属地优势，拓展采购渠道，加大地方版图书的市场占有率，辅之以各地方版图书特色，形成了我公司独特的供货系统，成为拓展市场的有力保障。</w:t>
      </w:r>
    </w:p>
    <w:p>
      <w:pPr>
        <w:widowControl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我公司是清华大学出版社、北京大学出版社、中国人民大学出版社、化学工业出版社、外语教学与研究出版社、人民邮电出版社、机械工业出版社等大型出版社在湖北的主要销售机构，北京地区出版社每月出版的新书会在第一时间内送至我公司驻京数据组，保证了文献资源的及时、丰富。</w:t>
      </w:r>
    </w:p>
    <w:p>
      <w:pPr>
        <w:widowControl w:val="0"/>
        <w:spacing w:line="360" w:lineRule="auto"/>
        <w:ind w:firstLine="480" w:firstLineChars="200"/>
        <w:jc w:val="both"/>
        <w:rPr>
          <w:rFonts w:hint="eastAsia" w:ascii="宋体" w:hAnsi="宋体" w:eastAsia="宋体" w:cs="宋体"/>
          <w:sz w:val="24"/>
          <w:szCs w:val="24"/>
          <w:lang w:val="zh-CN"/>
        </w:rPr>
      </w:pPr>
      <w:r>
        <w:rPr>
          <w:rFonts w:hint="eastAsia" w:ascii="宋体" w:hAnsi="宋体" w:eastAsia="宋体" w:cs="宋体"/>
          <w:sz w:val="24"/>
          <w:szCs w:val="24"/>
        </w:rPr>
        <w:t>我公司与全国800多家出版机构建立合作关系，能够迅速掌握国内最新出版信息及国外出版动态。图书品种直接从出版社进货，无中间环节，真正做到采购及时，到货准确。</w:t>
      </w:r>
    </w:p>
    <w:p>
      <w:pPr>
        <w:widowControl w:val="0"/>
        <w:spacing w:line="360" w:lineRule="auto"/>
        <w:ind w:firstLine="482" w:firstLineChars="200"/>
        <w:jc w:val="both"/>
        <w:rPr>
          <w:rFonts w:hint="eastAsia" w:ascii="宋体" w:hAnsi="宋体" w:eastAsia="宋体" w:cs="宋体"/>
          <w:b/>
          <w:sz w:val="24"/>
          <w:szCs w:val="24"/>
          <w:lang w:val="zh-CN"/>
        </w:rPr>
      </w:pPr>
      <w:r>
        <w:rPr>
          <w:rFonts w:hint="eastAsia" w:ascii="宋体" w:hAnsi="宋体" w:eastAsia="宋体" w:cs="宋体"/>
          <w:b/>
          <w:sz w:val="24"/>
          <w:szCs w:val="24"/>
          <w:lang w:val="zh-CN"/>
        </w:rPr>
        <w:t>地域优势</w:t>
      </w:r>
    </w:p>
    <w:p>
      <w:pPr>
        <w:widowControl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lang w:val="zh-CN"/>
        </w:rPr>
        <w:t>我公司地处湖北武汉。武汉交通便利，</w:t>
      </w:r>
      <w:r>
        <w:rPr>
          <w:rFonts w:hint="eastAsia" w:ascii="宋体" w:hAnsi="宋体" w:eastAsia="宋体" w:cs="宋体"/>
          <w:sz w:val="24"/>
          <w:szCs w:val="24"/>
        </w:rPr>
        <w:t>素有“九省通衢”之称，是中国少有的集铁路、水路、公路、航空、邮政、电信于一体的重要交通枢纽；又</w:t>
      </w:r>
      <w:r>
        <w:rPr>
          <w:rFonts w:hint="eastAsia" w:ascii="宋体" w:hAnsi="宋体" w:eastAsia="宋体" w:cs="宋体"/>
          <w:sz w:val="24"/>
          <w:szCs w:val="24"/>
          <w:lang w:val="zh-CN"/>
        </w:rPr>
        <w:t>是</w:t>
      </w:r>
      <w:r>
        <w:rPr>
          <w:rFonts w:hint="eastAsia" w:ascii="宋体" w:hAnsi="宋体" w:eastAsia="宋体" w:cs="宋体"/>
          <w:sz w:val="24"/>
          <w:szCs w:val="24"/>
        </w:rPr>
        <w:t>中部地区的科学、文化教育中心，</w:t>
      </w:r>
      <w:r>
        <w:rPr>
          <w:rFonts w:hint="eastAsia" w:ascii="宋体" w:hAnsi="宋体" w:eastAsia="宋体" w:cs="宋体"/>
          <w:sz w:val="24"/>
          <w:szCs w:val="24"/>
          <w:lang w:val="zh-CN"/>
        </w:rPr>
        <w:t>高校云集。</w:t>
      </w:r>
    </w:p>
    <w:p>
      <w:pPr>
        <w:widowControl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我公司凭借天然的地理优势和便利的物流渠道，及时、有效配送，为全国各地高校图书馆提供高效、优质的服务，保证各地高校图书馆能在第一时间领取所订图书，为各地高校图书馆的文献资源建设做出突出贡献。</w:t>
      </w:r>
    </w:p>
    <w:p>
      <w:pPr>
        <w:widowControl w:val="0"/>
        <w:spacing w:line="360" w:lineRule="auto"/>
        <w:ind w:firstLine="482" w:firstLineChars="200"/>
        <w:jc w:val="both"/>
        <w:rPr>
          <w:rFonts w:hint="eastAsia" w:ascii="宋体" w:hAnsi="宋体" w:eastAsia="宋体" w:cs="宋体"/>
          <w:b/>
          <w:sz w:val="24"/>
          <w:szCs w:val="24"/>
        </w:rPr>
      </w:pPr>
      <w:r>
        <w:rPr>
          <w:rFonts w:hint="eastAsia" w:ascii="宋体" w:hAnsi="宋体" w:eastAsia="宋体" w:cs="宋体"/>
          <w:b/>
          <w:sz w:val="24"/>
          <w:szCs w:val="24"/>
        </w:rPr>
        <w:t>品牌优势</w:t>
      </w:r>
    </w:p>
    <w:p>
      <w:pPr>
        <w:widowControl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十九年的执着与专注成就了湖北三新在全国馆配图书行业的地位，凭着全体三新人的锐意进取，湖北三新早在2009年就跻身图书行业的前三甲；2011年成功并购国内国书馆领域第一品牌——中国教育进出口图书公司的中文馆配业务，使湖北三新文化传媒有限公司一跃成为国内馆配市场的第一品牌。</w:t>
      </w:r>
    </w:p>
    <w:p>
      <w:pPr>
        <w:widowControl w:val="0"/>
        <w:spacing w:line="360" w:lineRule="auto"/>
        <w:ind w:firstLine="482" w:firstLineChars="200"/>
        <w:jc w:val="both"/>
        <w:rPr>
          <w:rFonts w:hint="eastAsia" w:ascii="宋体" w:hAnsi="宋体" w:eastAsia="宋体" w:cs="宋体"/>
          <w:b/>
          <w:sz w:val="24"/>
          <w:szCs w:val="24"/>
        </w:rPr>
      </w:pPr>
      <w:r>
        <w:rPr>
          <w:rFonts w:hint="eastAsia" w:ascii="宋体" w:hAnsi="宋体" w:eastAsia="宋体" w:cs="宋体"/>
          <w:b/>
          <w:sz w:val="24"/>
          <w:szCs w:val="24"/>
        </w:rPr>
        <w:t>完善的服务体系</w:t>
      </w:r>
    </w:p>
    <w:p>
      <w:pPr>
        <w:widowControl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公司有专业的客户服务团队，依托先进的ERP系统从售前报订到售中生产、物流各环节的跟踪及售后回馈，客服热线，全天开通，接受客户查询、反馈、投诉、监督，提供360度全方位的快捷、完美的服务。湖北三新致力于提供标准CNMARC格式的采访和编目数据，编目数据标准、规范、字段齐全，采访数据及时、便捷，使客户能够轻松、高效地完成订购及后续工作，且公司目前在全国各地业务区域均设有办事机构，工作人员可随时上门提供到馆加工等各项服务。凭借专业细致的加工技术，认真负责的服务态度，湖北三新的服务赢得了客户们的广泛认可，并在业界树立了良好口碑。</w:t>
      </w:r>
    </w:p>
    <w:p>
      <w:pPr>
        <w:widowControl w:val="0"/>
        <w:spacing w:line="360" w:lineRule="auto"/>
        <w:ind w:firstLine="482" w:firstLineChars="200"/>
        <w:jc w:val="both"/>
        <w:rPr>
          <w:rFonts w:hint="eastAsia" w:ascii="宋体" w:hAnsi="宋体" w:eastAsia="宋体" w:cs="宋体"/>
          <w:b/>
          <w:sz w:val="24"/>
          <w:szCs w:val="24"/>
        </w:rPr>
      </w:pPr>
      <w:r>
        <w:rPr>
          <w:rFonts w:hint="eastAsia" w:ascii="宋体" w:hAnsi="宋体" w:eastAsia="宋体" w:cs="宋体"/>
          <w:b/>
          <w:sz w:val="24"/>
          <w:szCs w:val="24"/>
        </w:rPr>
        <w:t>渠道优势</w:t>
      </w:r>
    </w:p>
    <w:p>
      <w:pPr>
        <w:widowControl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湖北三新在全国设置了40个营销办事处和售后服务机构，目前业务已拓展至全国31个省市自治区，覆盖率高达85%；营销与采购人员已达200人，与全国800多家出版机构及2000多家图书馆建立了长期稳定的合作关系，构建了完整的图书采购与营销渠道。</w:t>
      </w:r>
    </w:p>
    <w:p>
      <w:pPr>
        <w:widowControl w:val="0"/>
        <w:spacing w:line="360" w:lineRule="auto"/>
        <w:ind w:firstLine="482" w:firstLineChars="200"/>
        <w:jc w:val="both"/>
        <w:rPr>
          <w:rFonts w:hint="eastAsia" w:ascii="宋体" w:hAnsi="宋体" w:eastAsia="宋体" w:cs="宋体"/>
          <w:b/>
          <w:sz w:val="24"/>
          <w:szCs w:val="24"/>
        </w:rPr>
      </w:pPr>
      <w:r>
        <w:rPr>
          <w:rFonts w:hint="eastAsia" w:ascii="宋体" w:hAnsi="宋体" w:eastAsia="宋体" w:cs="宋体"/>
          <w:b/>
          <w:sz w:val="24"/>
          <w:szCs w:val="24"/>
        </w:rPr>
        <w:t>超强的生产物流能力</w:t>
      </w:r>
    </w:p>
    <w:p>
      <w:pPr>
        <w:widowControl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湖北三新总部设在九省通衢的武汉，总部设有黄龙山和凌家山两个生产物流基地，面积达46898平方米，生产员工200余人，日加工图书可达10万册；生产管理过程采用公司自主研发的ERP系统进行智能控制，流程先进，管理科学。同时公司还与国内多家知名物流公司长期合作，在加工质量、交货周期、后期服务等方面均能充分满足客户需求。</w:t>
      </w:r>
    </w:p>
    <w:p>
      <w:pPr>
        <w:widowControl w:val="0"/>
        <w:spacing w:line="360" w:lineRule="auto"/>
        <w:ind w:firstLine="482" w:firstLineChars="200"/>
        <w:jc w:val="both"/>
        <w:rPr>
          <w:rFonts w:hint="eastAsia" w:ascii="宋体" w:hAnsi="宋体" w:eastAsia="宋体" w:cs="宋体"/>
          <w:b/>
          <w:sz w:val="24"/>
          <w:szCs w:val="24"/>
        </w:rPr>
      </w:pPr>
      <w:r>
        <w:rPr>
          <w:rFonts w:hint="eastAsia" w:ascii="宋体" w:hAnsi="宋体" w:eastAsia="宋体" w:cs="宋体"/>
          <w:b/>
          <w:sz w:val="24"/>
          <w:szCs w:val="24"/>
        </w:rPr>
        <w:t>现代化的管理</w:t>
      </w:r>
    </w:p>
    <w:p>
      <w:pPr>
        <w:widowControl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三新文化与国际先进管理理念接轨，早在2009年就引进了ISO9001质量管理体系；公司采用先进的绩效管理体系——目标管理；生产车间采用“6S”管理；业务、物流等环节均采用先进的信息管理系统ERP等。先进的管理体系及多重管理制度双管齐下，湖北三新始终保持着高效的规范运作，生产量日新日高。</w:t>
      </w:r>
    </w:p>
    <w:p>
      <w:pPr>
        <w:pStyle w:val="3"/>
        <w:rPr>
          <w:rFonts w:hint="eastAsia" w:ascii="宋体" w:hAnsi="宋体" w:eastAsia="宋体" w:cs="宋体"/>
          <w:sz w:val="24"/>
          <w:szCs w:val="24"/>
          <w:lang w:val="en-US" w:eastAsia="zh-CN"/>
        </w:rPr>
      </w:pPr>
      <w:r>
        <w:rPr>
          <w:rFonts w:hint="eastAsia"/>
          <w:lang w:eastAsia="zh-CN"/>
        </w:rPr>
        <w:t>三、公司荣誉</w:t>
      </w:r>
    </w:p>
    <w:p>
      <w:pPr>
        <w:numPr>
          <w:ilvl w:val="0"/>
          <w:numId w:val="2"/>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“云图数字图书馆”产品项目成为新闻出版改革发展项目库新入库项目</w:t>
      </w:r>
    </w:p>
    <w:p>
      <w:pPr>
        <w:numPr>
          <w:ilvl w:val="0"/>
          <w:numId w:val="2"/>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“云图数字图书馆”产品项目入选为湖北省新闻出版广电局双百工程“示范项目”</w:t>
      </w:r>
    </w:p>
    <w:p>
      <w:pPr>
        <w:numPr>
          <w:ilvl w:val="0"/>
          <w:numId w:val="2"/>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湖北三新文化传媒有限公司荣获由中国市场学会信用工作委员会和中国管理科学研究院诚信评价研究中心颁发的“AAA级企业信用等级证书”</w:t>
      </w:r>
    </w:p>
    <w:p>
      <w:pPr>
        <w:numPr>
          <w:ilvl w:val="0"/>
          <w:numId w:val="2"/>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宋旅黄董事长被聘为中国图书馆学会第九届理事会阅读推广委员会阅读与出版专业委员会委员</w:t>
      </w:r>
    </w:p>
    <w:p>
      <w:pPr>
        <w:numPr>
          <w:ilvl w:val="0"/>
          <w:numId w:val="2"/>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湖北三新文化传媒有限公司成为ALA美国图书馆协会官方会员</w:t>
      </w:r>
    </w:p>
    <w:p>
      <w:pPr>
        <w:numPr>
          <w:ilvl w:val="0"/>
          <w:numId w:val="2"/>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湖北三新文化传媒有限公司获阿米巴经营实践开拓奖</w:t>
      </w:r>
    </w:p>
    <w:p>
      <w:pPr>
        <w:numPr>
          <w:ilvl w:val="0"/>
          <w:numId w:val="2"/>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湖北三新文化传媒有限公司获“高新技术企业”荣誉称号</w:t>
      </w:r>
    </w:p>
    <w:p>
      <w:pPr>
        <w:numPr>
          <w:ilvl w:val="0"/>
          <w:numId w:val="2"/>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湖北三新文化传媒有限公司获“龙头企业”荣誉称号</w:t>
      </w:r>
    </w:p>
    <w:p>
      <w:pPr>
        <w:numPr>
          <w:ilvl w:val="0"/>
          <w:numId w:val="2"/>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湖北三新文化传媒有限公司获“瞪羚企业”荣誉称号</w:t>
      </w:r>
    </w:p>
    <w:p>
      <w:pPr>
        <w:numPr>
          <w:ilvl w:val="0"/>
          <w:numId w:val="2"/>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湖北三新文化传媒有限公司获中国法制出版社“优秀经销商”荣誉称号</w:t>
      </w:r>
    </w:p>
    <w:p>
      <w:pPr>
        <w:numPr>
          <w:ilvl w:val="0"/>
          <w:numId w:val="2"/>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湖北三新文化传媒有限公司获化学工业出版社“优秀经销商”荣誉称号</w:t>
      </w:r>
    </w:p>
    <w:p>
      <w:pPr>
        <w:numPr>
          <w:ilvl w:val="0"/>
          <w:numId w:val="2"/>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湖北三新文化传媒有限公司获电子工业出版社“优秀教材经销商”荣誉称号</w:t>
      </w:r>
    </w:p>
    <w:p>
      <w:pPr>
        <w:numPr>
          <w:ilvl w:val="0"/>
          <w:numId w:val="2"/>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湖北三新文化传媒有限公司获图书馆报“全国优秀馆配商”荣誉称号</w:t>
      </w:r>
    </w:p>
    <w:p>
      <w:pPr>
        <w:numPr>
          <w:ilvl w:val="0"/>
          <w:numId w:val="2"/>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湖北三新文化传媒有限公司获“CMMI认证”</w:t>
      </w:r>
    </w:p>
    <w:p>
      <w:pPr>
        <w:pStyle w:val="3"/>
        <w:numPr>
          <w:ilvl w:val="0"/>
          <w:numId w:val="0"/>
        </w:numPr>
        <w:spacing w:line="360" w:lineRule="auto"/>
        <w:ind w:leftChars="0"/>
        <w:rPr>
          <w:sz w:val="28"/>
          <w:szCs w:val="28"/>
        </w:rPr>
      </w:pPr>
      <w:r>
        <w:rPr>
          <w:rFonts w:hint="eastAsia"/>
          <w:sz w:val="28"/>
          <w:szCs w:val="28"/>
          <w:lang w:eastAsia="zh-CN"/>
        </w:rPr>
        <w:t>四、</w:t>
      </w:r>
      <w:r>
        <w:rPr>
          <w:rFonts w:hint="eastAsia"/>
          <w:sz w:val="28"/>
          <w:szCs w:val="28"/>
        </w:rPr>
        <w:t>产品概述</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伴随着数字出版革命的迅速推进，在电子书持续火爆和出版转型的大背景下，电子书成为我国传统出版数字化转型的重要命题。随着数字技术的发展，所有的资源都可以有数字化版本，所有资源也都是以某种数据格式而存在。图书馆电子资源亦如此，是互联网数字时代发展的必然产物。</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如今电子书阅读已经逐渐被广大读者所接受，成为新的生活方式和潮流。然而电子资源数量庞大，种类繁多，变更极快，结构复杂，各种商业授权和法律条款浩繁，且如何将图书馆的已有的电子资源和市场上现有的电子资源有机的结合起来，是目前图书馆最为关系也最希望解决的问题。</w:t>
      </w:r>
    </w:p>
    <w:p>
      <w:pPr>
        <w:spacing w:line="360" w:lineRule="auto"/>
        <w:ind w:firstLine="480" w:firstLineChars="200"/>
        <w:rPr>
          <w:rFonts w:asciiTheme="minorEastAsia" w:hAnsiTheme="minorEastAsia"/>
          <w:sz w:val="24"/>
          <w:szCs w:val="24"/>
        </w:rPr>
      </w:pPr>
      <w:r>
        <w:rPr>
          <w:rFonts w:hint="eastAsia" w:asciiTheme="minorEastAsia" w:hAnsiTheme="minorEastAsia"/>
          <w:color w:val="000000" w:themeColor="text1"/>
          <w:sz w:val="24"/>
          <w:szCs w:val="24"/>
          <w14:textFill>
            <w14:solidFill>
              <w14:schemeClr w14:val="tx1"/>
            </w14:solidFill>
          </w14:textFill>
        </w:rPr>
        <w:t>“田田阅读”解决了馆配书“有纸无电”的空缺，以及长久以来的数字资源漏洞，也大幅度减少图书的遗失、损毁、储藏、搬运、物流成本，使书更“保值”。同时满足了图书馆对电子图书的各种需求。</w:t>
      </w:r>
    </w:p>
    <w:p>
      <w:pPr>
        <w:pStyle w:val="4"/>
        <w:numPr>
          <w:ilvl w:val="0"/>
          <w:numId w:val="3"/>
        </w:numPr>
      </w:pPr>
      <w:r>
        <w:rPr>
          <w:rFonts w:hint="eastAsia"/>
        </w:rPr>
        <w:t>产品特点</w:t>
      </w:r>
    </w:p>
    <w:p>
      <w:pPr>
        <w:pStyle w:val="5"/>
        <w:numPr>
          <w:ilvl w:val="1"/>
          <w:numId w:val="3"/>
        </w:numPr>
      </w:pPr>
      <w:r>
        <w:rPr>
          <w:rFonts w:hint="eastAsia"/>
        </w:rPr>
        <w:t>海量电子书资源</w:t>
      </w:r>
    </w:p>
    <w:p>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田田阅读与近两百家出版社合作提供海量正版最新的电子书资源，近三年新书占比达到90%以上，且每周都在持续新增。其中，亚马逊电子书和化工出版社专区等都是三新独家的销售领域，可同步销售数几十万种电子书。书籍类型丰富多样，既提供文学小说、历史传记、经济管理、成功励志、人文社科、生活、艺术等大众读物；也包含IT互联网、基础科学、工业技术、农业科学、医学卫生等专业著作。品种繁多最大程度上满足了读者的阅读和学习需求。</w:t>
      </w:r>
    </w:p>
    <w:p>
      <w:pPr>
        <w:pStyle w:val="5"/>
        <w:numPr>
          <w:ilvl w:val="1"/>
          <w:numId w:val="3"/>
        </w:numPr>
        <w:rPr>
          <w:rFonts w:hint="eastAsia"/>
        </w:rPr>
      </w:pPr>
      <w:r>
        <w:rPr>
          <w:rFonts w:hint="eastAsia"/>
        </w:rPr>
        <w:t>统一规范的格式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子书以多重格式方式展现，主要为PDF、EPUB、JPG等格式，系统自动匹配终端浏览器适应的文件格式，支持文字矢量放大，不失真。同时具有版式排版格式和流式文件格式，对不同屏幕大小的终端能够自动识别和自动排版，以保障清晰、完整、无缺页等现象，无副本限制，具备先进的数字版权保护技术、文件压缩技术。</w:t>
      </w:r>
    </w:p>
    <w:p>
      <w:pPr>
        <w:pStyle w:val="5"/>
        <w:numPr>
          <w:ilvl w:val="1"/>
          <w:numId w:val="3"/>
        </w:numPr>
        <w:rPr>
          <w:rFonts w:hint="eastAsia"/>
        </w:rPr>
      </w:pPr>
      <w:r>
        <w:rPr>
          <w:rFonts w:hint="eastAsia"/>
        </w:rPr>
        <w:t>DRM版权控制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DRM版权控制</w:t>
      </w:r>
      <w:r>
        <w:rPr>
          <w:rFonts w:hint="eastAsia" w:ascii="宋体" w:hAnsi="宋体" w:eastAsia="宋体" w:cs="宋体"/>
          <w:sz w:val="24"/>
          <w:szCs w:val="24"/>
        </w:rPr>
        <w:t>，</w:t>
      </w:r>
      <w:r>
        <w:rPr>
          <w:rFonts w:hint="eastAsia" w:ascii="宋体" w:hAnsi="宋体" w:eastAsia="宋体" w:cs="宋体"/>
          <w:bCs/>
          <w:sz w:val="24"/>
          <w:szCs w:val="24"/>
        </w:rPr>
        <w:t>全流程密钥</w:t>
      </w:r>
      <w:r>
        <w:rPr>
          <w:rFonts w:hint="eastAsia" w:ascii="宋体" w:hAnsi="宋体" w:eastAsia="宋体" w:cs="宋体"/>
          <w:sz w:val="24"/>
          <w:szCs w:val="24"/>
        </w:rPr>
        <w:t>，可控制电子书传播全流程以及传播范围、时间，使电子书只能在指定的范围、时间内有效，只针对图书馆内读者有效，保证了版权利益不受侵害。</w:t>
      </w:r>
    </w:p>
    <w:p>
      <w:pPr>
        <w:pStyle w:val="5"/>
        <w:numPr>
          <w:ilvl w:val="1"/>
          <w:numId w:val="3"/>
        </w:numPr>
        <w:rPr>
          <w:rFonts w:hint="eastAsia"/>
        </w:rPr>
      </w:pPr>
      <w:r>
        <w:rPr>
          <w:rFonts w:hint="eastAsia"/>
        </w:rPr>
        <w:t>免安装的网页阅读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PC端读者无需安装任何客户端或插件，可在田田阅读网站上直接进行网页阅读；移动端读者也可以不安装APP，在微信公众号里实现阅读。这种免安装的网页阅读大大降低了阅读门槛，轻应用的方式更易于读者接受。</w:t>
      </w:r>
    </w:p>
    <w:p>
      <w:pPr>
        <w:pStyle w:val="5"/>
        <w:numPr>
          <w:ilvl w:val="1"/>
          <w:numId w:val="3"/>
        </w:numPr>
        <w:rPr>
          <w:rFonts w:hint="eastAsia"/>
        </w:rPr>
      </w:pPr>
      <w:r>
        <w:rPr>
          <w:rFonts w:hint="eastAsia"/>
        </w:rPr>
        <w:t>支持多终端同步阅读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目前图书馆的电子资源多数只支持PC端，而田田阅读的电子书可同步支持PC端、移动端（包括Ios版、Android版、微信公众号等），还提供配套的电子屏供读者浏览查询、扫码带走。且不同终端之间，只需要读者登录账号，即可同步阅读进度和记录，随时随地想读就读。</w:t>
      </w:r>
    </w:p>
    <w:p>
      <w:pPr>
        <w:pStyle w:val="5"/>
        <w:numPr>
          <w:ilvl w:val="1"/>
          <w:numId w:val="3"/>
        </w:numPr>
        <w:rPr>
          <w:rFonts w:hint="eastAsia"/>
        </w:rPr>
      </w:pPr>
      <w:r>
        <w:rPr>
          <w:rFonts w:hint="eastAsia"/>
        </w:rPr>
        <w:t>提供阅读排行和精选书单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帮助读者在海量电子资源中发现好书。阅读排行是基于读者阅读数据统计，反映出各馆读者真实的阅读需求和趋势；精选书单则来自各大电商榜单、权威专家推荐、名校名师书单，反映出社会新动向、学术新方向。</w:t>
      </w:r>
    </w:p>
    <w:p>
      <w:pPr>
        <w:pStyle w:val="5"/>
        <w:numPr>
          <w:ilvl w:val="1"/>
          <w:numId w:val="3"/>
        </w:numPr>
        <w:rPr>
          <w:rFonts w:hint="eastAsia"/>
        </w:rPr>
      </w:pPr>
      <w:r>
        <w:rPr>
          <w:rFonts w:hint="eastAsia"/>
        </w:rPr>
        <w:t>广泛的兼容性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提供具有广泛的兼容性阅读器，具备原版打印、图书下载、书签管理、图书收藏及自定义阅读背景色、缩放比例、支持文字拷贝、图像截取、批注、页面旋转滚屏、发表评论和错误报告等功能，同一数字图书能同时供多人阅读、浏览。</w:t>
      </w:r>
    </w:p>
    <w:p>
      <w:pPr>
        <w:pStyle w:val="5"/>
        <w:numPr>
          <w:ilvl w:val="1"/>
          <w:numId w:val="3"/>
        </w:numPr>
        <w:rPr>
          <w:rFonts w:hint="eastAsia"/>
        </w:rPr>
      </w:pPr>
      <w:r>
        <w:rPr>
          <w:rFonts w:hint="eastAsia"/>
        </w:rPr>
        <w:t>支持社会化互动阅读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采用分享评论、标注的功能，让读者可以了解到同时在阅读该本图书的其他读者的思想、笔记。</w:t>
      </w:r>
    </w:p>
    <w:p>
      <w:pPr>
        <w:pStyle w:val="5"/>
        <w:numPr>
          <w:ilvl w:val="1"/>
          <w:numId w:val="3"/>
        </w:numPr>
        <w:rPr>
          <w:rFonts w:hint="eastAsia"/>
        </w:rPr>
      </w:pPr>
      <w:r>
        <w:rPr>
          <w:rFonts w:hint="eastAsia"/>
        </w:rPr>
        <w:t>独立完善的管理平台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提供完善的数字图书馆资源管理和发布软件技术平台,包括数字资源发布、检索、阅读、管理、采集、制作等功能。有独立完善的管理平台，管理功能全面，具备基本状态、流量分析、用户管理、排行管理、IP范围管理、图书管理、反馈需求管理。提供正版数字图书馆相关软件系统，免费对数据库及相关软件系统的安装、调试、培训与维护。对于数字图书馆核心的浏览器，保证免费提供升级服务。</w:t>
      </w:r>
    </w:p>
    <w:p>
      <w:pPr>
        <w:pStyle w:val="5"/>
        <w:numPr>
          <w:ilvl w:val="1"/>
          <w:numId w:val="3"/>
        </w:numPr>
        <w:rPr>
          <w:rFonts w:hint="eastAsia"/>
        </w:rPr>
      </w:pPr>
      <w:r>
        <w:rPr>
          <w:rFonts w:hint="eastAsia"/>
        </w:rPr>
        <w:t>正版版权</w:t>
      </w:r>
    </w:p>
    <w:p>
      <w:pPr>
        <w:pStyle w:val="17"/>
        <w:spacing w:line="360" w:lineRule="auto"/>
        <w:ind w:firstLineChars="0"/>
        <w:rPr>
          <w:rFonts w:hint="eastAsia" w:ascii="宋体" w:hAnsi="宋体" w:eastAsia="宋体" w:cs="宋体"/>
          <w:bCs/>
          <w:sz w:val="24"/>
          <w:szCs w:val="24"/>
        </w:rPr>
      </w:pPr>
      <w:r>
        <w:rPr>
          <w:rFonts w:hint="eastAsia" w:ascii="宋体" w:hAnsi="宋体" w:eastAsia="宋体" w:cs="宋体"/>
          <w:bCs/>
          <w:sz w:val="24"/>
          <w:szCs w:val="24"/>
        </w:rPr>
        <w:t>田田阅读提供的所有电子书都具有合法的正版版权。</w:t>
      </w:r>
    </w:p>
    <w:p>
      <w:pPr>
        <w:pStyle w:val="4"/>
        <w:numPr>
          <w:ilvl w:val="0"/>
          <w:numId w:val="3"/>
        </w:numPr>
        <w:rPr>
          <w:rFonts w:hint="eastAsia"/>
        </w:rPr>
      </w:pPr>
      <w:r>
        <w:rPr>
          <w:rFonts w:hint="eastAsia"/>
        </w:rPr>
        <w:t>产品功能</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田田阅读是一个汇集了所有电子资源的频道页面，频道主要包括：三新自有的电子书，第三方对接的圣才教辅类资源、亚马逊电子书、中信电子书等各种形式的电子资源。</w:t>
      </w:r>
    </w:p>
    <w:p>
      <w:pPr>
        <w:pStyle w:val="4"/>
        <w:numPr>
          <w:ilvl w:val="1"/>
          <w:numId w:val="3"/>
        </w:numPr>
        <w:spacing w:line="360" w:lineRule="auto"/>
        <w:rPr>
          <w:rFonts w:hint="eastAsia" w:ascii="宋体" w:hAnsi="宋体" w:eastAsia="宋体" w:cs="宋体"/>
          <w:sz w:val="24"/>
          <w:szCs w:val="24"/>
        </w:rPr>
      </w:pPr>
      <w:r>
        <w:rPr>
          <w:rFonts w:hint="eastAsia" w:ascii="宋体" w:hAnsi="宋体" w:eastAsia="宋体" w:cs="宋体"/>
          <w:sz w:val="24"/>
          <w:szCs w:val="24"/>
        </w:rPr>
        <w:t>电子书（田田阅读）</w:t>
      </w:r>
    </w:p>
    <w:p>
      <w:pPr>
        <w:pStyle w:val="5"/>
        <w:numPr>
          <w:ilvl w:val="2"/>
          <w:numId w:val="3"/>
        </w:numPr>
        <w:spacing w:line="360" w:lineRule="auto"/>
        <w:rPr>
          <w:rFonts w:hint="eastAsia" w:ascii="宋体" w:hAnsi="宋体" w:eastAsia="宋体" w:cs="宋体"/>
          <w:sz w:val="24"/>
          <w:szCs w:val="24"/>
        </w:rPr>
      </w:pPr>
      <w:bookmarkStart w:id="0" w:name="_Toc479760417"/>
      <w:bookmarkStart w:id="1" w:name="_Toc465609641"/>
      <w:bookmarkStart w:id="2" w:name="_Toc465676743"/>
      <w:r>
        <w:rPr>
          <w:rFonts w:hint="eastAsia" w:ascii="宋体" w:hAnsi="宋体" w:eastAsia="宋体" w:cs="宋体"/>
          <w:sz w:val="24"/>
          <w:szCs w:val="24"/>
        </w:rPr>
        <w:t>本馆资源</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图书馆和云平台对接后，田田阅读的【本馆资源】栏目会展示图书馆已有的电子书，以及在平台上新购买的电子书。页面设有“立即阅读”和“加入购物车”的功能，登录的读者可以读全本电子书，并将电子书加入到购物车中；未登录的读者则只能以游客的身份试读电子书的前10页。</w:t>
      </w:r>
    </w:p>
    <w:p>
      <w:pPr>
        <w:pStyle w:val="5"/>
        <w:numPr>
          <w:ilvl w:val="2"/>
          <w:numId w:val="3"/>
        </w:numPr>
        <w:spacing w:line="360" w:lineRule="auto"/>
        <w:rPr>
          <w:rFonts w:hint="eastAsia" w:ascii="宋体" w:hAnsi="宋体" w:eastAsia="宋体" w:cs="宋体"/>
          <w:sz w:val="24"/>
          <w:szCs w:val="24"/>
        </w:rPr>
      </w:pPr>
      <w:r>
        <w:rPr>
          <w:rFonts w:hint="eastAsia" w:ascii="宋体" w:hAnsi="宋体" w:eastAsia="宋体" w:cs="宋体"/>
          <w:sz w:val="24"/>
          <w:szCs w:val="24"/>
        </w:rPr>
        <w:t>试读</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试读”栏目展示平台中所有的电子书，其中包含了图书馆已购买的电子书。已购买的电子书显示“立即阅读”可读全本，未购买的电子书显示“试读”只可读前10页，试读的电子书读者可点击“想读全本”按钮，向图书馆推荐此电子书。</w:t>
      </w:r>
    </w:p>
    <w:p>
      <w:pPr>
        <w:pStyle w:val="5"/>
        <w:numPr>
          <w:ilvl w:val="2"/>
          <w:numId w:val="3"/>
        </w:numPr>
        <w:spacing w:line="360" w:lineRule="auto"/>
        <w:rPr>
          <w:rFonts w:hint="eastAsia" w:ascii="宋体" w:hAnsi="宋体" w:eastAsia="宋体" w:cs="宋体"/>
          <w:sz w:val="24"/>
          <w:szCs w:val="24"/>
        </w:rPr>
      </w:pPr>
      <w:r>
        <w:rPr>
          <w:rFonts w:hint="eastAsia" w:ascii="宋体" w:hAnsi="宋体" w:eastAsia="宋体" w:cs="宋体"/>
          <w:sz w:val="24"/>
          <w:szCs w:val="24"/>
        </w:rPr>
        <w:t>检索</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田田阅读支持对接使用学校OPAC，读者也可通过检索框对全平台的电子书进行检索，并对检索结果进行包括：本馆/试读、出版社、出版时间多条件的二次筛选的操作，以帮助读者精确检索范围。搜索框下方自带热搜词，显示近期被检索次数最多的关键词。</w:t>
      </w:r>
    </w:p>
    <w:p>
      <w:pPr>
        <w:pStyle w:val="5"/>
        <w:numPr>
          <w:ilvl w:val="2"/>
          <w:numId w:val="3"/>
        </w:numPr>
        <w:spacing w:line="360" w:lineRule="auto"/>
        <w:rPr>
          <w:rFonts w:hint="eastAsia" w:ascii="宋体" w:hAnsi="宋体" w:eastAsia="宋体" w:cs="宋体"/>
          <w:sz w:val="24"/>
          <w:szCs w:val="24"/>
        </w:rPr>
      </w:pPr>
      <w:r>
        <w:rPr>
          <w:rFonts w:hint="eastAsia" w:ascii="宋体" w:hAnsi="宋体" w:eastAsia="宋体" w:cs="宋体"/>
          <w:sz w:val="24"/>
          <w:szCs w:val="24"/>
        </w:rPr>
        <w:t>浏览历史</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帮助读者自动记录在当前浏览器下打开过的最新的三本电子书，按时间的先后顺序展示，最新打开的展示在最前面。</w:t>
      </w:r>
    </w:p>
    <w:p>
      <w:pPr>
        <w:pStyle w:val="5"/>
        <w:numPr>
          <w:ilvl w:val="2"/>
          <w:numId w:val="3"/>
        </w:numPr>
        <w:spacing w:line="360" w:lineRule="auto"/>
        <w:rPr>
          <w:rFonts w:hint="eastAsia" w:ascii="宋体" w:hAnsi="宋体" w:eastAsia="宋体" w:cs="宋体"/>
          <w:sz w:val="24"/>
          <w:szCs w:val="24"/>
        </w:rPr>
      </w:pPr>
      <w:r>
        <w:rPr>
          <w:rFonts w:hint="eastAsia" w:ascii="宋体" w:hAnsi="宋体" w:eastAsia="宋体" w:cs="宋体"/>
          <w:sz w:val="24"/>
          <w:szCs w:val="24"/>
        </w:rPr>
        <w:t>电子书推荐</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田田阅读采用多种形式的电子书推荐模式，将最新的最好的电子书资源推荐给广大读者。主要包括以下形式：</w:t>
      </w:r>
    </w:p>
    <w:p>
      <w:pPr>
        <w:numPr>
          <w:ilvl w:val="0"/>
          <w:numId w:val="4"/>
        </w:num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新书推荐：系统自动推荐平台最新电子书到首页，设有换一批功能进行切换，方便读者第一时间阅读到最新的电子书；</w:t>
      </w:r>
    </w:p>
    <w:p>
      <w:pPr>
        <w:numPr>
          <w:ilvl w:val="0"/>
          <w:numId w:val="4"/>
        </w:num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好书推荐：系统自动推荐一批较好的电子书在首页滚动显示，读者可通过左右切换功能，挑选想读的电子书；</w:t>
      </w:r>
    </w:p>
    <w:p>
      <w:pPr>
        <w:numPr>
          <w:ilvl w:val="0"/>
          <w:numId w:val="4"/>
        </w:num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读这本书的人也读了：电子书详情页会展示阅读这本书的读者也读过的其他电子书。</w:t>
      </w:r>
    </w:p>
    <w:p>
      <w:pPr>
        <w:spacing w:line="360" w:lineRule="auto"/>
        <w:ind w:left="420"/>
        <w:rPr>
          <w:rFonts w:hint="eastAsia" w:ascii="宋体" w:hAnsi="宋体" w:eastAsia="宋体" w:cs="宋体"/>
          <w:sz w:val="24"/>
          <w:szCs w:val="24"/>
        </w:rPr>
      </w:pPr>
      <w:r>
        <w:rPr>
          <w:rFonts w:hint="eastAsia" w:ascii="宋体" w:hAnsi="宋体" w:eastAsia="宋体" w:cs="宋体"/>
          <w:sz w:val="24"/>
          <w:szCs w:val="24"/>
        </w:rPr>
        <w:t>除开平台推荐模式之外，也支持PDA采购模式进行电子书荐购。</w:t>
      </w:r>
    </w:p>
    <w:p>
      <w:pPr>
        <w:pStyle w:val="5"/>
        <w:numPr>
          <w:ilvl w:val="2"/>
          <w:numId w:val="3"/>
        </w:numPr>
        <w:spacing w:line="360" w:lineRule="auto"/>
        <w:rPr>
          <w:rFonts w:hint="eastAsia" w:ascii="宋体" w:hAnsi="宋体" w:eastAsia="宋体" w:cs="宋体"/>
          <w:sz w:val="24"/>
          <w:szCs w:val="24"/>
        </w:rPr>
      </w:pPr>
      <w:r>
        <w:rPr>
          <w:rFonts w:hint="eastAsia" w:ascii="宋体" w:hAnsi="宋体" w:eastAsia="宋体" w:cs="宋体"/>
          <w:sz w:val="24"/>
          <w:szCs w:val="24"/>
        </w:rPr>
        <w:t>精品书单</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田田阅读会定期为读者收集同一类型的电子书，以某个主题整理成书单推送到首页，读者只需通过这个书单便可轻轻松松阅读到同种类的精品电子书。</w:t>
      </w:r>
    </w:p>
    <w:p>
      <w:pPr>
        <w:pStyle w:val="5"/>
        <w:numPr>
          <w:ilvl w:val="2"/>
          <w:numId w:val="3"/>
        </w:numPr>
        <w:spacing w:line="360" w:lineRule="auto"/>
        <w:rPr>
          <w:rFonts w:hint="eastAsia" w:ascii="宋体" w:hAnsi="宋体" w:eastAsia="宋体" w:cs="宋体"/>
          <w:sz w:val="24"/>
          <w:szCs w:val="24"/>
        </w:rPr>
      </w:pPr>
      <w:r>
        <w:rPr>
          <w:rFonts w:hint="eastAsia" w:ascii="宋体" w:hAnsi="宋体" w:eastAsia="宋体" w:cs="宋体"/>
          <w:sz w:val="24"/>
          <w:szCs w:val="24"/>
        </w:rPr>
        <w:t>排行榜</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首页设有周排行和月排行电子书榜单，分别展示一周内和一月内阅读次数最多的前8本电子书，方便读者了解这个时间段内最热门的电子书。</w:t>
      </w:r>
    </w:p>
    <w:p>
      <w:pPr>
        <w:pStyle w:val="5"/>
        <w:numPr>
          <w:ilvl w:val="2"/>
          <w:numId w:val="3"/>
        </w:numPr>
        <w:spacing w:line="360" w:lineRule="auto"/>
        <w:rPr>
          <w:rFonts w:hint="eastAsia" w:ascii="宋体" w:hAnsi="宋体" w:eastAsia="宋体" w:cs="宋体"/>
          <w:sz w:val="24"/>
          <w:szCs w:val="24"/>
        </w:rPr>
      </w:pPr>
      <w:r>
        <w:rPr>
          <w:rFonts w:hint="eastAsia" w:ascii="宋体" w:hAnsi="宋体" w:eastAsia="宋体" w:cs="宋体"/>
          <w:sz w:val="24"/>
          <w:szCs w:val="24"/>
        </w:rPr>
        <w:t>我的书架</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我的书架旨在为读者收藏喜欢或预读的电子书，对添加的电子书数量无限制。读者账号登录后便可使用书架功能，对已加入书架的电子书进行阅读和删除的操作。</w:t>
      </w:r>
    </w:p>
    <w:p>
      <w:pPr>
        <w:pStyle w:val="5"/>
        <w:numPr>
          <w:ilvl w:val="2"/>
          <w:numId w:val="3"/>
        </w:numPr>
        <w:spacing w:line="360" w:lineRule="auto"/>
        <w:rPr>
          <w:rFonts w:hint="eastAsia" w:ascii="宋体" w:hAnsi="宋体" w:eastAsia="宋体" w:cs="宋体"/>
          <w:sz w:val="24"/>
          <w:szCs w:val="24"/>
        </w:rPr>
      </w:pPr>
      <w:r>
        <w:rPr>
          <w:rFonts w:hint="eastAsia" w:ascii="宋体" w:hAnsi="宋体" w:eastAsia="宋体" w:cs="宋体"/>
          <w:sz w:val="24"/>
          <w:szCs w:val="24"/>
        </w:rPr>
        <w:t>阅读权限设置</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田田阅读允许未登录的游客进行访问，针对读者和电子书资源类型的不同，对应的阅读权限也有所不同，主要包括：</w:t>
      </w:r>
    </w:p>
    <w:p>
      <w:pPr>
        <w:numPr>
          <w:ilvl w:val="0"/>
          <w:numId w:val="5"/>
        </w:num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未登录的读者阅读权限等同于一般的游客，只能试读平台上所有电子书的前10页；</w:t>
      </w:r>
    </w:p>
    <w:p>
      <w:pPr>
        <w:numPr>
          <w:ilvl w:val="0"/>
          <w:numId w:val="5"/>
        </w:num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已登录的读者可阅读本馆资源栏目下所有电子书的全本；</w:t>
      </w:r>
    </w:p>
    <w:p>
      <w:pPr>
        <w:numPr>
          <w:ilvl w:val="0"/>
          <w:numId w:val="5"/>
        </w:num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已登录的读者可的阅读试读栏目下所有电子书的前10页。</w:t>
      </w:r>
    </w:p>
    <w:p>
      <w:pPr>
        <w:pStyle w:val="5"/>
        <w:numPr>
          <w:ilvl w:val="2"/>
          <w:numId w:val="3"/>
        </w:numPr>
        <w:spacing w:line="360" w:lineRule="auto"/>
        <w:rPr>
          <w:rFonts w:hint="eastAsia" w:ascii="宋体" w:hAnsi="宋体" w:eastAsia="宋体" w:cs="宋体"/>
          <w:sz w:val="24"/>
          <w:szCs w:val="24"/>
        </w:rPr>
      </w:pPr>
      <w:r>
        <w:rPr>
          <w:rFonts w:hint="eastAsia" w:ascii="宋体" w:hAnsi="宋体" w:eastAsia="宋体" w:cs="宋体"/>
          <w:sz w:val="24"/>
          <w:szCs w:val="24"/>
        </w:rPr>
        <w:t>扫码同步到手机</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电子书详情页除了展示电子书的基本信息外，还会展示电子书的二维码，打开手机扫一扫，可将电子书同步到手机端进行阅读。</w:t>
      </w:r>
    </w:p>
    <w:bookmarkEnd w:id="0"/>
    <w:bookmarkEnd w:id="1"/>
    <w:bookmarkEnd w:id="2"/>
    <w:p>
      <w:pPr>
        <w:pStyle w:val="4"/>
        <w:rPr>
          <w:rFonts w:hint="eastAsia"/>
          <w:lang w:val="en-US" w:eastAsia="zh-CN"/>
        </w:rPr>
      </w:pPr>
      <w:r>
        <w:rPr>
          <w:rFonts w:hint="eastAsia"/>
          <w:lang w:val="en-US" w:eastAsia="zh-CN"/>
        </w:rPr>
        <w:t>3.</w:t>
      </w:r>
      <w:bookmarkStart w:id="3" w:name="_Toc6504"/>
      <w:bookmarkStart w:id="4" w:name="_Toc485198120"/>
      <w:r>
        <w:rPr>
          <w:rFonts w:hint="eastAsia"/>
          <w:lang w:val="en-US" w:eastAsia="zh-CN"/>
        </w:rPr>
        <w:t>产品说明</w:t>
      </w:r>
    </w:p>
    <w:p>
      <w:pPr>
        <w:pStyle w:val="5"/>
        <w:rPr>
          <w:rFonts w:hint="eastAsia"/>
          <w:b w:val="0"/>
          <w:bCs w:val="0"/>
          <w:lang w:val="en-US" w:eastAsia="zh-CN"/>
        </w:rPr>
      </w:pPr>
      <w:r>
        <w:rPr>
          <w:rFonts w:hint="eastAsia"/>
          <w:b w:val="0"/>
          <w:bCs w:val="0"/>
          <w:lang w:val="en-US" w:eastAsia="zh-CN"/>
        </w:rPr>
        <w:t>3.1在线阅读</w:t>
      </w:r>
      <w:bookmarkEnd w:id="3"/>
      <w:bookmarkEnd w:id="4"/>
    </w:p>
    <w:p>
      <w:pPr>
        <w:pStyle w:val="2"/>
        <w:rPr>
          <w:rFonts w:hint="eastAsia" w:ascii="微软雅黑" w:hAnsi="微软雅黑" w:eastAsia="微软雅黑" w:cs="微软雅黑"/>
          <w:sz w:val="21"/>
          <w:szCs w:val="21"/>
        </w:rPr>
      </w:pPr>
      <w:r>
        <w:drawing>
          <wp:inline distT="0" distB="0" distL="114300" distR="114300">
            <wp:extent cx="6001385" cy="2726055"/>
            <wp:effectExtent l="0" t="0" r="1841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001385" cy="2726055"/>
                    </a:xfrm>
                    <a:prstGeom prst="rect">
                      <a:avLst/>
                    </a:prstGeom>
                    <a:noFill/>
                    <a:ln w="9525">
                      <a:noFill/>
                    </a:ln>
                  </pic:spPr>
                </pic:pic>
              </a:graphicData>
            </a:graphic>
          </wp:inline>
        </w:drawing>
      </w:r>
    </w:p>
    <w:p>
      <w:pPr>
        <w:pStyle w:val="2"/>
        <w:numPr>
          <w:ilvl w:val="2"/>
          <w:numId w:val="6"/>
        </w:numPr>
        <w:ind w:left="709" w:leftChars="0" w:hanging="709" w:firstLineChars="0"/>
        <w:outlineLvl w:val="3"/>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应用登录</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当图书馆与云平台已做对接，并且购买了田田阅读资源；读者需要先登录，才能阅读本馆已购买的电子书，若未登录则只能试读一部分。登录时选择相关图书馆名称，再输入借阅证号及密码，即可登录。</w:t>
      </w:r>
    </w:p>
    <w:p>
      <w:pPr>
        <w:rPr>
          <w:rFonts w:hint="eastAsia" w:ascii="微软雅黑" w:hAnsi="微软雅黑" w:eastAsia="微软雅黑" w:cs="微软雅黑"/>
          <w:sz w:val="21"/>
          <w:szCs w:val="21"/>
        </w:rPr>
      </w:pP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4923790" cy="5047615"/>
            <wp:effectExtent l="9525" t="9525" r="19685" b="1016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
                    <a:stretch>
                      <a:fillRect/>
                    </a:stretch>
                  </pic:blipFill>
                  <pic:spPr>
                    <a:xfrm>
                      <a:off x="0" y="0"/>
                      <a:ext cx="4923810" cy="5047619"/>
                    </a:xfrm>
                    <a:prstGeom prst="rect">
                      <a:avLst/>
                    </a:prstGeom>
                    <a:ln w="6350">
                      <a:solidFill>
                        <a:schemeClr val="bg1">
                          <a:lumMod val="95000"/>
                        </a:schemeClr>
                      </a:solidFill>
                    </a:ln>
                  </pic:spPr>
                </pic:pic>
              </a:graphicData>
            </a:graphic>
          </wp:inline>
        </w:drawing>
      </w:r>
    </w:p>
    <w:p>
      <w:pPr>
        <w:pStyle w:val="2"/>
        <w:numPr>
          <w:ilvl w:val="2"/>
          <w:numId w:val="6"/>
        </w:numPr>
        <w:ind w:left="709" w:leftChars="0" w:hanging="709" w:firstLineChars="0"/>
        <w:outlineLvl w:val="3"/>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查找书籍</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可以在右上角搜索框直接通过关键词检索，快速检索到需要的书籍；</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319395" cy="2829560"/>
            <wp:effectExtent l="9525" t="9525" r="24130" b="1841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8"/>
                    <a:stretch>
                      <a:fillRect/>
                    </a:stretch>
                  </pic:blipFill>
                  <pic:spPr>
                    <a:xfrm>
                      <a:off x="0" y="0"/>
                      <a:ext cx="5318505" cy="2829265"/>
                    </a:xfrm>
                    <a:prstGeom prst="rect">
                      <a:avLst/>
                    </a:prstGeom>
                    <a:noFill/>
                    <a:ln w="6350">
                      <a:solidFill>
                        <a:schemeClr val="bg1">
                          <a:lumMod val="95000"/>
                        </a:schemeClr>
                      </a:solidFill>
                    </a:ln>
                  </pic:spPr>
                </pic:pic>
              </a:graphicData>
            </a:graphic>
          </wp:inline>
        </w:drawing>
      </w: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或者选择对应的书籍分类，查找该分类下相关的书籍。</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335270" cy="3187700"/>
            <wp:effectExtent l="0" t="0" r="17780" b="1270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9"/>
                    <a:stretch>
                      <a:fillRect/>
                    </a:stretch>
                  </pic:blipFill>
                  <pic:spPr>
                    <a:xfrm>
                      <a:off x="0" y="0"/>
                      <a:ext cx="5335839" cy="3188493"/>
                    </a:xfrm>
                    <a:prstGeom prst="rect">
                      <a:avLst/>
                    </a:prstGeom>
                    <a:noFill/>
                    <a:ln w="9525">
                      <a:noFill/>
                    </a:ln>
                  </pic:spPr>
                </pic:pic>
              </a:graphicData>
            </a:graphic>
          </wp:inline>
        </w:drawing>
      </w:r>
    </w:p>
    <w:p>
      <w:pPr>
        <w:pStyle w:val="2"/>
        <w:numPr>
          <w:ilvl w:val="2"/>
          <w:numId w:val="6"/>
        </w:numPr>
        <w:ind w:left="709" w:leftChars="0" w:hanging="709" w:firstLineChars="0"/>
        <w:outlineLvl w:val="3"/>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书籍阅读</w:t>
      </w:r>
    </w:p>
    <w:p>
      <w:pPr>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找到想读的书后</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，点击进入书籍详情页，点击【立即阅读】在Web网页中进行在线阅读。</w:t>
      </w:r>
    </w:p>
    <w:p>
      <w:pPr>
        <w:jc w:val="both"/>
        <w:rPr>
          <w:rFonts w:hint="eastAsia" w:ascii="微软雅黑" w:hAnsi="微软雅黑" w:eastAsia="微软雅黑" w:cs="微软雅黑"/>
          <w:sz w:val="21"/>
          <w:szCs w:val="21"/>
        </w:rPr>
      </w:pPr>
      <w:r>
        <w:drawing>
          <wp:inline distT="0" distB="0" distL="114300" distR="114300">
            <wp:extent cx="5273040" cy="1836420"/>
            <wp:effectExtent l="0" t="0" r="381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273040" cy="1836420"/>
                    </a:xfrm>
                    <a:prstGeom prst="rect">
                      <a:avLst/>
                    </a:prstGeom>
                    <a:noFill/>
                    <a:ln w="9525">
                      <a:noFill/>
                    </a:ln>
                  </pic:spPr>
                </pic:pic>
              </a:graphicData>
            </a:graphic>
          </wp:inline>
        </w:drawing>
      </w:r>
    </w:p>
    <w:p>
      <w:pPr>
        <w:pStyle w:val="2"/>
        <w:numPr>
          <w:ilvl w:val="2"/>
          <w:numId w:val="6"/>
        </w:numPr>
        <w:ind w:left="709" w:leftChars="0" w:hanging="709" w:firstLineChars="0"/>
        <w:outlineLvl w:val="3"/>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加入书架</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对于未阅读完的书籍，在书籍详情页，可以点击【加入书架】，将这本书加入到书架中，需要继续阅读的时候，直接在【我的书架】中就能找到这本书。</w:t>
      </w:r>
    </w:p>
    <w:p>
      <w:pPr>
        <w:jc w:val="center"/>
        <w:rPr>
          <w:rFonts w:hint="eastAsia" w:ascii="微软雅黑" w:hAnsi="微软雅黑" w:eastAsia="微软雅黑" w:cs="微软雅黑"/>
          <w:sz w:val="21"/>
          <w:szCs w:val="21"/>
        </w:rPr>
      </w:pPr>
      <w:r>
        <w:drawing>
          <wp:inline distT="0" distB="0" distL="114300" distR="114300">
            <wp:extent cx="5266055" cy="2112645"/>
            <wp:effectExtent l="0" t="0" r="10795"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266055" cy="2112645"/>
                    </a:xfrm>
                    <a:prstGeom prst="rect">
                      <a:avLst/>
                    </a:prstGeom>
                    <a:noFill/>
                    <a:ln w="9525">
                      <a:noFill/>
                    </a:ln>
                  </pic:spPr>
                </pic:pic>
              </a:graphicData>
            </a:graphic>
          </wp:inline>
        </w:drawing>
      </w:r>
    </w:p>
    <w:p>
      <w:pPr>
        <w:rPr>
          <w:rFonts w:hint="eastAsia" w:ascii="微软雅黑" w:hAnsi="微软雅黑" w:eastAsia="微软雅黑" w:cs="微软雅黑"/>
          <w:sz w:val="21"/>
          <w:szCs w:val="21"/>
        </w:rPr>
      </w:pPr>
    </w:p>
    <w:p>
      <w:pPr>
        <w:pStyle w:val="2"/>
        <w:numPr>
          <w:ilvl w:val="2"/>
          <w:numId w:val="6"/>
        </w:numPr>
        <w:ind w:left="709" w:leftChars="0" w:hanging="709" w:firstLineChars="0"/>
        <w:outlineLvl w:val="3"/>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手机扫码 </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在每本书籍详情页，都有一个专属的二维码，通过微信或者APP的扫一扫功能，直接扫描二维码，就可以在手机上阅读这本书。</w:t>
      </w:r>
    </w:p>
    <w:p>
      <w:pPr>
        <w:jc w:val="center"/>
        <w:rPr>
          <w:rFonts w:hint="eastAsia" w:ascii="微软雅黑" w:hAnsi="微软雅黑" w:eastAsia="微软雅黑" w:cs="微软雅黑"/>
          <w:sz w:val="21"/>
          <w:szCs w:val="21"/>
        </w:rPr>
      </w:pPr>
      <w:r>
        <w:drawing>
          <wp:inline distT="0" distB="0" distL="114300" distR="114300">
            <wp:extent cx="5273040" cy="2211705"/>
            <wp:effectExtent l="0" t="0" r="3810" b="171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73040" cy="2211705"/>
                    </a:xfrm>
                    <a:prstGeom prst="rect">
                      <a:avLst/>
                    </a:prstGeom>
                    <a:noFill/>
                    <a:ln w="9525">
                      <a:noFill/>
                    </a:ln>
                  </pic:spPr>
                </pic:pic>
              </a:graphicData>
            </a:graphic>
          </wp:inline>
        </w:drawing>
      </w:r>
    </w:p>
    <w:p>
      <w:pPr>
        <w:pStyle w:val="5"/>
        <w:numPr>
          <w:ilvl w:val="0"/>
          <w:numId w:val="0"/>
        </w:numPr>
        <w:ind w:leftChars="0"/>
        <w:outlineLvl w:val="2"/>
        <w:rPr>
          <w:rFonts w:hint="eastAsia" w:ascii="微软雅黑" w:hAnsi="微软雅黑" w:eastAsia="微软雅黑" w:cs="微软雅黑"/>
          <w:sz w:val="21"/>
          <w:szCs w:val="21"/>
          <w:lang w:val="en-US" w:eastAsia="zh-CN"/>
        </w:rPr>
      </w:pPr>
      <w:bookmarkStart w:id="5" w:name="_Toc487710625"/>
      <w:bookmarkStart w:id="6" w:name="_Toc25825"/>
      <w:bookmarkStart w:id="7" w:name="_Toc32151"/>
      <w:bookmarkStart w:id="8" w:name="_Toc22732"/>
      <w:r>
        <w:rPr>
          <w:rFonts w:hint="eastAsia" w:ascii="微软雅黑" w:hAnsi="微软雅黑" w:eastAsia="微软雅黑" w:cs="微软雅黑"/>
          <w:sz w:val="21"/>
          <w:szCs w:val="21"/>
          <w:lang w:val="en-US" w:eastAsia="zh-CN"/>
        </w:rPr>
        <w:t>3.2书单推荐</w:t>
      </w:r>
      <w:bookmarkEnd w:id="5"/>
      <w:bookmarkEnd w:id="6"/>
      <w:bookmarkEnd w:id="7"/>
      <w:bookmarkEnd w:id="8"/>
    </w:p>
    <w:p>
      <w:pPr>
        <w:pStyle w:val="2"/>
        <w:numPr>
          <w:ilvl w:val="2"/>
          <w:numId w:val="6"/>
        </w:numPr>
        <w:ind w:left="709" w:leftChars="0" w:hanging="709" w:firstLineChars="0"/>
        <w:outlineLvl w:val="3"/>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新书推荐</w:t>
      </w:r>
    </w:p>
    <w:p>
      <w:pPr>
        <w:rPr>
          <w:rFonts w:hint="eastAsia" w:ascii="微软雅黑" w:hAnsi="微软雅黑" w:eastAsia="微软雅黑" w:cs="微软雅黑"/>
          <w:sz w:val="21"/>
          <w:szCs w:val="21"/>
        </w:rPr>
      </w:pPr>
      <w:r>
        <w:rPr>
          <w:rFonts w:hint="eastAsia" w:ascii="微软雅黑" w:hAnsi="微软雅黑" w:eastAsia="微软雅黑" w:cs="微软雅黑"/>
          <w:b/>
          <w:sz w:val="21"/>
          <w:szCs w:val="21"/>
        </w:rPr>
        <w:t xml:space="preserve"> </w:t>
      </w:r>
      <w:r>
        <w:rPr>
          <w:rFonts w:hint="eastAsia" w:ascii="微软雅黑" w:hAnsi="微软雅黑" w:eastAsia="微软雅黑" w:cs="微软雅黑"/>
          <w:sz w:val="21"/>
          <w:szCs w:val="21"/>
        </w:rPr>
        <w:t xml:space="preserve"> 三新与全国580加出版社长期合作，与大部分出版社进行EDI的对接。每周会将新书展示在云平台田田阅读新书推荐供大家阅读。</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田田阅读首页，banner图下方=》【新书推荐】</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3240405"/>
            <wp:effectExtent l="9525" t="9525" r="12065" b="2667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3"/>
                    <a:stretch>
                      <a:fillRect/>
                    </a:stretch>
                  </pic:blipFill>
                  <pic:spPr>
                    <a:xfrm>
                      <a:off x="0" y="0"/>
                      <a:ext cx="5274310" cy="3240893"/>
                    </a:xfrm>
                    <a:prstGeom prst="rect">
                      <a:avLst/>
                    </a:prstGeom>
                    <a:ln w="6350">
                      <a:solidFill>
                        <a:schemeClr val="bg1">
                          <a:lumMod val="95000"/>
                        </a:schemeClr>
                      </a:solidFill>
                    </a:ln>
                  </pic:spPr>
                </pic:pic>
              </a:graphicData>
            </a:graphic>
          </wp:inline>
        </w:drawing>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读者亦可根据自己的阅读兴趣进行新书的更换，直接点击换一批，即可更换新书。</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3413125"/>
            <wp:effectExtent l="9525" t="9525" r="12065" b="2540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4"/>
                    <a:stretch>
                      <a:fillRect/>
                    </a:stretch>
                  </pic:blipFill>
                  <pic:spPr>
                    <a:xfrm>
                      <a:off x="0" y="0"/>
                      <a:ext cx="5274310" cy="3413651"/>
                    </a:xfrm>
                    <a:prstGeom prst="rect">
                      <a:avLst/>
                    </a:prstGeom>
                    <a:ln w="6350">
                      <a:solidFill>
                        <a:schemeClr val="bg1">
                          <a:lumMod val="95000"/>
                        </a:schemeClr>
                      </a:solidFill>
                    </a:ln>
                  </pic:spPr>
                </pic:pic>
              </a:graphicData>
            </a:graphic>
          </wp:inline>
        </w:drawing>
      </w:r>
    </w:p>
    <w:p>
      <w:pPr>
        <w:pStyle w:val="2"/>
        <w:numPr>
          <w:ilvl w:val="2"/>
          <w:numId w:val="6"/>
        </w:numPr>
        <w:ind w:left="709" w:leftChars="0" w:hanging="709" w:firstLineChars="0"/>
        <w:outlineLvl w:val="3"/>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大众畅销</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云平台田田阅读也会根据读者选书习惯，田田阅读中书籍按照大众分类法在云平台上展示。 </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田田阅读首页，新书推荐下方=》【大众畅销】</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2430145"/>
            <wp:effectExtent l="9525" t="9525" r="12065" b="1778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5"/>
                    <a:stretch>
                      <a:fillRect/>
                    </a:stretch>
                  </pic:blipFill>
                  <pic:spPr>
                    <a:xfrm>
                      <a:off x="0" y="0"/>
                      <a:ext cx="5274310" cy="2430212"/>
                    </a:xfrm>
                    <a:prstGeom prst="rect">
                      <a:avLst/>
                    </a:prstGeom>
                    <a:ln w="6350">
                      <a:solidFill>
                        <a:schemeClr val="bg1">
                          <a:lumMod val="95000"/>
                        </a:schemeClr>
                      </a:solidFill>
                    </a:ln>
                  </pic:spPr>
                </pic:pic>
              </a:graphicData>
            </a:graphic>
          </wp:inline>
        </w:drawing>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当前页若没有供选择的书籍，可点击更多，跳转到试读页面，根据大众分类来选书。</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2668905"/>
            <wp:effectExtent l="9525" t="9525" r="12065" b="2667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6"/>
                    <a:stretch>
                      <a:fillRect/>
                    </a:stretch>
                  </pic:blipFill>
                  <pic:spPr>
                    <a:xfrm>
                      <a:off x="0" y="0"/>
                      <a:ext cx="5274310" cy="2669509"/>
                    </a:xfrm>
                    <a:prstGeom prst="rect">
                      <a:avLst/>
                    </a:prstGeom>
                    <a:ln w="6985">
                      <a:solidFill>
                        <a:schemeClr val="bg1">
                          <a:lumMod val="95000"/>
                        </a:schemeClr>
                      </a:solidFill>
                    </a:ln>
                  </pic:spPr>
                </pic:pic>
              </a:graphicData>
            </a:graphic>
          </wp:inline>
        </w:drawing>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大众分类下的每个分类中的又有小的分类，可以按出版时间、热门来选书。</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3230880"/>
            <wp:effectExtent l="9525" t="9525" r="12065" b="1714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7"/>
                    <a:stretch>
                      <a:fillRect/>
                    </a:stretch>
                  </pic:blipFill>
                  <pic:spPr>
                    <a:xfrm>
                      <a:off x="0" y="0"/>
                      <a:ext cx="5274310" cy="3231125"/>
                    </a:xfrm>
                    <a:prstGeom prst="rect">
                      <a:avLst/>
                    </a:prstGeom>
                    <a:ln w="6350">
                      <a:solidFill>
                        <a:schemeClr val="bg1">
                          <a:lumMod val="95000"/>
                        </a:schemeClr>
                      </a:solidFill>
                    </a:ln>
                  </pic:spPr>
                </pic:pic>
              </a:graphicData>
            </a:graphic>
          </wp:inline>
        </w:drawing>
      </w:r>
    </w:p>
    <w:p>
      <w:pPr>
        <w:pStyle w:val="2"/>
        <w:numPr>
          <w:ilvl w:val="2"/>
          <w:numId w:val="6"/>
        </w:numPr>
        <w:ind w:left="709" w:leftChars="0" w:hanging="709" w:firstLineChars="0"/>
        <w:outlineLvl w:val="3"/>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术业专攻</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云平台田田阅读根据读者对专业书籍要求，田田阅读中书籍按照专业分类在云平台上展示。田田阅读首页，大众畅销下方=》【术业专攻】</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2387600"/>
            <wp:effectExtent l="9525" t="9525" r="12065" b="2222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18"/>
                    <a:stretch>
                      <a:fillRect/>
                    </a:stretch>
                  </pic:blipFill>
                  <pic:spPr>
                    <a:xfrm>
                      <a:off x="0" y="0"/>
                      <a:ext cx="5274310" cy="2388090"/>
                    </a:xfrm>
                    <a:prstGeom prst="rect">
                      <a:avLst/>
                    </a:prstGeom>
                    <a:ln w="6350">
                      <a:solidFill>
                        <a:schemeClr val="bg1">
                          <a:lumMod val="95000"/>
                        </a:schemeClr>
                      </a:solidFill>
                    </a:ln>
                  </pic:spPr>
                </pic:pic>
              </a:graphicData>
            </a:graphic>
          </wp:inline>
        </w:drawing>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当前页若没有相关专业书籍，可点击更多，跳转到试读页面，根据分类法中小分类来选书。</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3079115"/>
            <wp:effectExtent l="9525" t="9525" r="12065" b="1651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9"/>
                    <a:stretch>
                      <a:fillRect/>
                    </a:stretch>
                  </pic:blipFill>
                  <pic:spPr>
                    <a:xfrm>
                      <a:off x="0" y="0"/>
                      <a:ext cx="5274310" cy="3079733"/>
                    </a:xfrm>
                    <a:prstGeom prst="rect">
                      <a:avLst/>
                    </a:prstGeom>
                    <a:ln w="6350">
                      <a:solidFill>
                        <a:schemeClr val="bg1">
                          <a:lumMod val="95000"/>
                        </a:schemeClr>
                      </a:solidFill>
                    </a:ln>
                  </pic:spPr>
                </pic:pic>
              </a:graphicData>
            </a:graphic>
          </wp:inline>
        </w:drawing>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可按照出版时间、热门来选云平台推荐的书。</w:t>
      </w:r>
    </w:p>
    <w:p>
      <w:pPr>
        <w:jc w:val="center"/>
        <w:rPr>
          <w:rFonts w:hint="eastAsia" w:ascii="微软雅黑" w:hAnsi="微软雅黑" w:eastAsia="微软雅黑" w:cs="微软雅黑"/>
          <w:sz w:val="21"/>
          <w:szCs w:val="21"/>
        </w:rPr>
      </w:pPr>
      <w:r>
        <w:drawing>
          <wp:inline distT="0" distB="0" distL="114300" distR="114300">
            <wp:extent cx="5272405" cy="2051050"/>
            <wp:effectExtent l="0" t="0" r="4445"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5272405" cy="2051050"/>
                    </a:xfrm>
                    <a:prstGeom prst="rect">
                      <a:avLst/>
                    </a:prstGeom>
                    <a:noFill/>
                    <a:ln w="9525">
                      <a:noFill/>
                    </a:ln>
                  </pic:spPr>
                </pic:pic>
              </a:graphicData>
            </a:graphic>
          </wp:inline>
        </w:drawing>
      </w:r>
    </w:p>
    <w:p>
      <w:pPr>
        <w:pStyle w:val="2"/>
        <w:numPr>
          <w:ilvl w:val="2"/>
          <w:numId w:val="6"/>
        </w:numPr>
        <w:ind w:left="709" w:leftChars="0" w:hanging="709" w:firstLineChars="0"/>
        <w:outlineLvl w:val="3"/>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好书推荐</w:t>
      </w:r>
    </w:p>
    <w:p>
      <w:pPr>
        <w:jc w:val="left"/>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田田阅读首页，术业专攻下方 =》【好书推荐】</w:t>
      </w:r>
    </w:p>
    <w:p>
      <w:pPr>
        <w:jc w:val="center"/>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1512570"/>
            <wp:effectExtent l="9525" t="9525" r="12065" b="2095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21"/>
                    <a:stretch>
                      <a:fillRect/>
                    </a:stretch>
                  </pic:blipFill>
                  <pic:spPr>
                    <a:xfrm>
                      <a:off x="0" y="0"/>
                      <a:ext cx="5274310" cy="1512701"/>
                    </a:xfrm>
                    <a:prstGeom prst="rect">
                      <a:avLst/>
                    </a:prstGeom>
                    <a:ln w="6350">
                      <a:solidFill>
                        <a:schemeClr val="bg1">
                          <a:lumMod val="95000"/>
                        </a:schemeClr>
                      </a:solidFill>
                    </a:ln>
                  </pic:spPr>
                </pic:pic>
              </a:graphicData>
            </a:graphic>
          </wp:inline>
        </w:drawing>
      </w:r>
    </w:p>
    <w:p>
      <w:pPr>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根据左右箭头，进行书籍轮播选择。</w:t>
      </w:r>
      <w:r>
        <w:rPr>
          <w:rFonts w:hint="eastAsia" w:ascii="微软雅黑" w:hAnsi="微软雅黑" w:eastAsia="微软雅黑" w:cs="微软雅黑"/>
          <w:sz w:val="21"/>
          <w:szCs w:val="21"/>
        </w:rPr>
        <w:drawing>
          <wp:inline distT="0" distB="0" distL="0" distR="0">
            <wp:extent cx="5274310" cy="1356995"/>
            <wp:effectExtent l="9525" t="9525" r="12065" b="2413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22"/>
                    <a:stretch>
                      <a:fillRect/>
                    </a:stretch>
                  </pic:blipFill>
                  <pic:spPr>
                    <a:xfrm>
                      <a:off x="0" y="0"/>
                      <a:ext cx="5274310" cy="1357036"/>
                    </a:xfrm>
                    <a:prstGeom prst="rect">
                      <a:avLst/>
                    </a:prstGeom>
                    <a:ln w="6350">
                      <a:solidFill>
                        <a:schemeClr val="bg1">
                          <a:lumMod val="95000"/>
                        </a:schemeClr>
                      </a:solidFill>
                    </a:ln>
                  </pic:spPr>
                </pic:pic>
              </a:graphicData>
            </a:graphic>
          </wp:inline>
        </w:drawing>
      </w:r>
    </w:p>
    <w:p>
      <w:pPr>
        <w:pStyle w:val="2"/>
        <w:numPr>
          <w:ilvl w:val="2"/>
          <w:numId w:val="6"/>
        </w:numPr>
        <w:ind w:left="709" w:leftChars="0" w:hanging="709" w:firstLineChars="0"/>
        <w:outlineLvl w:val="3"/>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精品书单</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三新二十年的沉淀，积累大量的精品书籍，根据分类将书籍以分类的形式推荐给读者。</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田田阅读首页，好书推荐下方=》【精品书单】</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962660"/>
            <wp:effectExtent l="9525" t="9525" r="12065" b="1841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23"/>
                    <a:stretch>
                      <a:fillRect/>
                    </a:stretch>
                  </pic:blipFill>
                  <pic:spPr>
                    <a:xfrm>
                      <a:off x="0" y="0"/>
                      <a:ext cx="5274310" cy="963294"/>
                    </a:xfrm>
                    <a:prstGeom prst="rect">
                      <a:avLst/>
                    </a:prstGeom>
                    <a:ln w="6350">
                      <a:solidFill>
                        <a:schemeClr val="bg1">
                          <a:lumMod val="95000"/>
                        </a:schemeClr>
                      </a:solidFill>
                    </a:ln>
                  </pic:spPr>
                </pic:pic>
              </a:graphicData>
            </a:graphic>
          </wp:inline>
        </w:drawing>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读者根据自己感兴趣的直接点击进入。</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2634615"/>
            <wp:effectExtent l="9525" t="9525" r="12065" b="2286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24"/>
                    <a:stretch>
                      <a:fillRect/>
                    </a:stretch>
                  </pic:blipFill>
                  <pic:spPr>
                    <a:xfrm>
                      <a:off x="0" y="0"/>
                      <a:ext cx="5274310" cy="2634713"/>
                    </a:xfrm>
                    <a:prstGeom prst="rect">
                      <a:avLst/>
                    </a:prstGeom>
                    <a:ln w="6350">
                      <a:solidFill>
                        <a:schemeClr val="bg1">
                          <a:lumMod val="95000"/>
                        </a:schemeClr>
                      </a:solidFill>
                    </a:ln>
                  </pic:spPr>
                </pic:pic>
              </a:graphicData>
            </a:graphic>
          </wp:inline>
        </w:drawing>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选中自己想看的书籍，图书馆没有购买的情况下，可试读，亦可加入书架。</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2640965"/>
            <wp:effectExtent l="9525" t="9525" r="12065" b="1651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25"/>
                    <a:stretch>
                      <a:fillRect/>
                    </a:stretch>
                  </pic:blipFill>
                  <pic:spPr>
                    <a:xfrm>
                      <a:off x="0" y="0"/>
                      <a:ext cx="5274310" cy="2641428"/>
                    </a:xfrm>
                    <a:prstGeom prst="rect">
                      <a:avLst/>
                    </a:prstGeom>
                    <a:ln w="6350">
                      <a:solidFill>
                        <a:schemeClr val="bg1">
                          <a:lumMod val="95000"/>
                        </a:schemeClr>
                      </a:solidFill>
                    </a:ln>
                  </pic:spPr>
                </pic:pic>
              </a:graphicData>
            </a:graphic>
          </wp:inline>
        </w:drawing>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加入书架中的书，下次阅读，可在我的书架中继续阅读。</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2261870"/>
            <wp:effectExtent l="9525" t="9525" r="12065" b="1460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26"/>
                    <a:stretch>
                      <a:fillRect/>
                    </a:stretch>
                  </pic:blipFill>
                  <pic:spPr>
                    <a:xfrm>
                      <a:off x="0" y="0"/>
                      <a:ext cx="5274310" cy="2262337"/>
                    </a:xfrm>
                    <a:prstGeom prst="rect">
                      <a:avLst/>
                    </a:prstGeom>
                    <a:ln w="6350">
                      <a:solidFill>
                        <a:schemeClr val="bg1">
                          <a:lumMod val="95000"/>
                        </a:schemeClr>
                      </a:solidFill>
                    </a:ln>
                  </pic:spPr>
                </pic:pic>
              </a:graphicData>
            </a:graphic>
          </wp:inline>
        </w:drawing>
      </w:r>
    </w:p>
    <w:p>
      <w:pPr>
        <w:pStyle w:val="5"/>
        <w:rPr>
          <w:rFonts w:hint="eastAsia" w:ascii="微软雅黑" w:hAnsi="微软雅黑" w:eastAsia="微软雅黑" w:cs="微软雅黑"/>
          <w:sz w:val="21"/>
          <w:szCs w:val="21"/>
        </w:rPr>
      </w:pPr>
      <w:bookmarkStart w:id="9" w:name="_Toc1709"/>
      <w:bookmarkStart w:id="10" w:name="_Toc186"/>
      <w:bookmarkStart w:id="11" w:name="_Toc9934"/>
      <w:bookmarkStart w:id="12" w:name="_Toc487710626"/>
      <w:r>
        <w:rPr>
          <w:rFonts w:hint="eastAsia" w:ascii="微软雅黑" w:hAnsi="微软雅黑" w:eastAsia="微软雅黑" w:cs="微软雅黑"/>
          <w:sz w:val="21"/>
          <w:szCs w:val="21"/>
          <w:lang w:val="en-US" w:eastAsia="zh-CN"/>
        </w:rPr>
        <w:t>3.3</w:t>
      </w:r>
      <w:r>
        <w:rPr>
          <w:rFonts w:hint="eastAsia" w:ascii="微软雅黑" w:hAnsi="微软雅黑" w:eastAsia="微软雅黑" w:cs="微软雅黑"/>
          <w:sz w:val="21"/>
          <w:szCs w:val="21"/>
        </w:rPr>
        <w:t>阅读排行</w:t>
      </w:r>
      <w:bookmarkEnd w:id="9"/>
      <w:bookmarkEnd w:id="10"/>
      <w:bookmarkEnd w:id="11"/>
      <w:bookmarkEnd w:id="12"/>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进入田田阅读首页，banner图下方，新书推荐右侧=》【阅读排行】</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根据云平台统计功能，按书籍阅读量进行排行，供读者选择。</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3352165" cy="5218430"/>
            <wp:effectExtent l="9525" t="9525" r="10160" b="1079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27"/>
                    <a:stretch>
                      <a:fillRect/>
                    </a:stretch>
                  </pic:blipFill>
                  <pic:spPr>
                    <a:xfrm>
                      <a:off x="0" y="0"/>
                      <a:ext cx="3352381" cy="5219048"/>
                    </a:xfrm>
                    <a:prstGeom prst="rect">
                      <a:avLst/>
                    </a:prstGeom>
                    <a:ln w="6350">
                      <a:solidFill>
                        <a:schemeClr val="bg1">
                          <a:lumMod val="95000"/>
                        </a:schemeClr>
                      </a:solidFill>
                    </a:ln>
                  </pic:spPr>
                </pic:pic>
              </a:graphicData>
            </a:graphic>
          </wp:inline>
        </w:drawing>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3295015" cy="5151755"/>
            <wp:effectExtent l="9525" t="9525" r="10160" b="2032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28"/>
                    <a:stretch>
                      <a:fillRect/>
                    </a:stretch>
                  </pic:blipFill>
                  <pic:spPr>
                    <a:xfrm>
                      <a:off x="0" y="0"/>
                      <a:ext cx="3295238" cy="5152381"/>
                    </a:xfrm>
                    <a:prstGeom prst="rect">
                      <a:avLst/>
                    </a:prstGeom>
                    <a:ln w="6350">
                      <a:solidFill>
                        <a:schemeClr val="bg1">
                          <a:lumMod val="95000"/>
                        </a:schemeClr>
                      </a:solidFill>
                    </a:ln>
                  </pic:spPr>
                </pic:pic>
              </a:graphicData>
            </a:graphic>
          </wp:inline>
        </w:drawing>
      </w:r>
    </w:p>
    <w:p>
      <w:pPr>
        <w:pStyle w:val="5"/>
        <w:rPr>
          <w:rFonts w:hint="eastAsia" w:ascii="微软雅黑" w:hAnsi="微软雅黑" w:eastAsia="微软雅黑" w:cs="微软雅黑"/>
          <w:sz w:val="21"/>
          <w:szCs w:val="21"/>
        </w:rPr>
      </w:pPr>
      <w:bookmarkStart w:id="13" w:name="_Toc3604"/>
      <w:bookmarkStart w:id="14" w:name="_Toc17731"/>
      <w:bookmarkStart w:id="15" w:name="_Toc487710627"/>
      <w:bookmarkStart w:id="16" w:name="_Toc1342"/>
      <w:r>
        <w:rPr>
          <w:rFonts w:hint="eastAsia" w:ascii="微软雅黑" w:hAnsi="微软雅黑" w:eastAsia="微软雅黑" w:cs="微软雅黑"/>
          <w:sz w:val="21"/>
          <w:szCs w:val="21"/>
          <w:lang w:val="en-US" w:eastAsia="zh-CN"/>
        </w:rPr>
        <w:t>3.4</w:t>
      </w:r>
      <w:r>
        <w:rPr>
          <w:rFonts w:hint="eastAsia" w:ascii="微软雅黑" w:hAnsi="微软雅黑" w:eastAsia="微软雅黑" w:cs="微软雅黑"/>
          <w:sz w:val="21"/>
          <w:szCs w:val="21"/>
        </w:rPr>
        <w:t>同类推荐</w:t>
      </w:r>
      <w:bookmarkEnd w:id="13"/>
      <w:bookmarkEnd w:id="14"/>
      <w:bookmarkEnd w:id="15"/>
      <w:bookmarkEnd w:id="16"/>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田田阅读首页，书籍详情页，右侧=》选择【读了这本书的人也读过】</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3199765" cy="3799840"/>
            <wp:effectExtent l="9525" t="9525" r="10160" b="1968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29"/>
                    <a:stretch>
                      <a:fillRect/>
                    </a:stretch>
                  </pic:blipFill>
                  <pic:spPr>
                    <a:xfrm>
                      <a:off x="0" y="0"/>
                      <a:ext cx="3200000" cy="3800000"/>
                    </a:xfrm>
                    <a:prstGeom prst="rect">
                      <a:avLst/>
                    </a:prstGeom>
                    <a:ln w="6350">
                      <a:solidFill>
                        <a:schemeClr val="bg1">
                          <a:lumMod val="95000"/>
                        </a:schemeClr>
                      </a:solidFill>
                    </a:ln>
                  </pic:spPr>
                </pic:pic>
              </a:graphicData>
            </a:graphic>
          </wp:inline>
        </w:drawing>
      </w:r>
    </w:p>
    <w:p>
      <w:pPr>
        <w:pStyle w:val="5"/>
        <w:rPr>
          <w:rFonts w:hint="eastAsia" w:ascii="微软雅黑" w:hAnsi="微软雅黑" w:eastAsia="微软雅黑" w:cs="微软雅黑"/>
          <w:sz w:val="21"/>
          <w:szCs w:val="21"/>
        </w:rPr>
      </w:pPr>
      <w:bookmarkStart w:id="17" w:name="_Toc487710628"/>
      <w:bookmarkStart w:id="18" w:name="_Toc25955"/>
      <w:bookmarkStart w:id="19" w:name="_Toc8265"/>
      <w:bookmarkStart w:id="20" w:name="_Toc28740"/>
      <w:r>
        <w:rPr>
          <w:rFonts w:hint="eastAsia" w:ascii="微软雅黑" w:hAnsi="微软雅黑" w:eastAsia="微软雅黑" w:cs="微软雅黑"/>
          <w:sz w:val="21"/>
          <w:szCs w:val="21"/>
          <w:lang w:val="en-US" w:eastAsia="zh-CN"/>
        </w:rPr>
        <w:t>3.5</w:t>
      </w:r>
      <w:r>
        <w:rPr>
          <w:rFonts w:hint="eastAsia" w:ascii="微软雅黑" w:hAnsi="微软雅黑" w:eastAsia="微软雅黑" w:cs="微软雅黑"/>
          <w:sz w:val="21"/>
          <w:szCs w:val="21"/>
        </w:rPr>
        <w:t>浏览历史</w:t>
      </w:r>
      <w:bookmarkEnd w:id="17"/>
      <w:bookmarkEnd w:id="18"/>
      <w:bookmarkEnd w:id="19"/>
      <w:bookmarkEnd w:id="20"/>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进入田田阅读首页，快速检索旁，选择=》【浏览历史】</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660400"/>
            <wp:effectExtent l="0" t="0" r="2540" b="635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30"/>
                    <a:stretch>
                      <a:fillRect/>
                    </a:stretch>
                  </pic:blipFill>
                  <pic:spPr>
                    <a:xfrm>
                      <a:off x="0" y="0"/>
                      <a:ext cx="5274310" cy="660510"/>
                    </a:xfrm>
                    <a:prstGeom prst="rect">
                      <a:avLst/>
                    </a:prstGeom>
                  </pic:spPr>
                </pic:pic>
              </a:graphicData>
            </a:graphic>
          </wp:inline>
        </w:drawing>
      </w:r>
    </w:p>
    <w:p>
      <w:pPr>
        <w:outlineLvl w:val="3"/>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rPr>
        <w:t>1</w:t>
      </w:r>
      <w:r>
        <w:rPr>
          <w:rFonts w:hint="eastAsia" w:ascii="微软雅黑" w:hAnsi="微软雅黑" w:eastAsia="微软雅黑" w:cs="微软雅黑"/>
          <w:b/>
          <w:sz w:val="21"/>
          <w:szCs w:val="21"/>
        </w:rPr>
        <w:t>.1未登录</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点击书名，可进入书籍详情页。</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2260600"/>
            <wp:effectExtent l="9525" t="9525" r="12065" b="1587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31"/>
                    <a:stretch>
                      <a:fillRect/>
                    </a:stretch>
                  </pic:blipFill>
                  <pic:spPr>
                    <a:xfrm>
                      <a:off x="0" y="0"/>
                      <a:ext cx="5274310" cy="2261116"/>
                    </a:xfrm>
                    <a:prstGeom prst="rect">
                      <a:avLst/>
                    </a:prstGeom>
                    <a:ln w="6350">
                      <a:solidFill>
                        <a:schemeClr val="bg1">
                          <a:lumMod val="95000"/>
                        </a:schemeClr>
                      </a:solidFill>
                    </a:ln>
                  </pic:spPr>
                </pic:pic>
              </a:graphicData>
            </a:graphic>
          </wp:inline>
        </w:drawing>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点击查看书架，跳转到登录页面。</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2827655"/>
            <wp:effectExtent l="9525" t="9525" r="12065" b="2032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32"/>
                    <a:stretch>
                      <a:fillRect/>
                    </a:stretch>
                  </pic:blipFill>
                  <pic:spPr>
                    <a:xfrm>
                      <a:off x="0" y="0"/>
                      <a:ext cx="5274310" cy="2828227"/>
                    </a:xfrm>
                    <a:prstGeom prst="rect">
                      <a:avLst/>
                    </a:prstGeom>
                    <a:ln w="6350">
                      <a:solidFill>
                        <a:schemeClr val="bg1">
                          <a:lumMod val="95000"/>
                        </a:schemeClr>
                      </a:solidFill>
                    </a:ln>
                  </pic:spPr>
                </pic:pic>
              </a:graphicData>
            </a:graphic>
          </wp:inline>
        </w:drawing>
      </w:r>
    </w:p>
    <w:p>
      <w:pPr>
        <w:outlineLvl w:val="3"/>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rPr>
        <w:t>1</w:t>
      </w:r>
      <w:r>
        <w:rPr>
          <w:rFonts w:hint="eastAsia" w:ascii="微软雅黑" w:hAnsi="微软雅黑" w:eastAsia="微软雅黑" w:cs="微软雅黑"/>
          <w:b/>
          <w:sz w:val="21"/>
          <w:szCs w:val="21"/>
        </w:rPr>
        <w:t>.2已登录</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点击书名，进入书籍详情页</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2260600"/>
            <wp:effectExtent l="9525" t="9525" r="12065" b="1587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31"/>
                    <a:stretch>
                      <a:fillRect/>
                    </a:stretch>
                  </pic:blipFill>
                  <pic:spPr>
                    <a:xfrm>
                      <a:off x="0" y="0"/>
                      <a:ext cx="5274310" cy="2260600"/>
                    </a:xfrm>
                    <a:prstGeom prst="rect">
                      <a:avLst/>
                    </a:prstGeom>
                    <a:ln w="6350">
                      <a:solidFill>
                        <a:schemeClr val="bg1">
                          <a:lumMod val="95000"/>
                        </a:schemeClr>
                      </a:solidFill>
                    </a:ln>
                  </pic:spPr>
                </pic:pic>
              </a:graphicData>
            </a:graphic>
          </wp:inline>
        </w:drawing>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点击查看书架，跳转到已浏览过的书籍列表中</w:t>
      </w:r>
    </w:p>
    <w:p>
      <w:pPr>
        <w:jc w:val="center"/>
        <w:outlineLvl w:val="9"/>
        <w:rPr>
          <w:rFonts w:hint="eastAsia" w:ascii="微软雅黑" w:hAnsi="微软雅黑" w:eastAsia="微软雅黑" w:cs="微软雅黑"/>
          <w:b/>
          <w:sz w:val="21"/>
          <w:szCs w:val="21"/>
        </w:rPr>
      </w:pPr>
      <w:r>
        <w:rPr>
          <w:rFonts w:hint="eastAsia" w:ascii="微软雅黑" w:hAnsi="微软雅黑" w:eastAsia="微软雅黑" w:cs="微软雅黑"/>
          <w:sz w:val="21"/>
          <w:szCs w:val="21"/>
        </w:rPr>
        <w:drawing>
          <wp:inline distT="0" distB="0" distL="0" distR="0">
            <wp:extent cx="5274310" cy="2807335"/>
            <wp:effectExtent l="9525" t="9525" r="12065" b="2159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33"/>
                    <a:stretch>
                      <a:fillRect/>
                    </a:stretch>
                  </pic:blipFill>
                  <pic:spPr>
                    <a:xfrm>
                      <a:off x="0" y="0"/>
                      <a:ext cx="5274310" cy="2807471"/>
                    </a:xfrm>
                    <a:prstGeom prst="rect">
                      <a:avLst/>
                    </a:prstGeom>
                    <a:ln w="6350">
                      <a:solidFill>
                        <a:schemeClr val="bg1">
                          <a:lumMod val="95000"/>
                        </a:schemeClr>
                      </a:solidFill>
                    </a:ln>
                  </pic:spPr>
                </pic:pic>
              </a:graphicData>
            </a:graphic>
          </wp:inline>
        </w:drawing>
      </w:r>
    </w:p>
    <w:p>
      <w:pPr>
        <w:pStyle w:val="5"/>
        <w:rPr>
          <w:rFonts w:hint="eastAsia"/>
          <w:b w:val="0"/>
          <w:bCs w:val="0"/>
          <w:lang w:val="en-US" w:eastAsia="zh-CN"/>
        </w:rPr>
      </w:pPr>
      <w:r>
        <w:rPr>
          <w:rFonts w:hint="eastAsia"/>
          <w:b w:val="0"/>
          <w:bCs w:val="0"/>
          <w:lang w:val="en-US" w:eastAsia="zh-CN"/>
        </w:rPr>
        <w:t>3.6 部分图书展示</w:t>
      </w:r>
    </w:p>
    <w:p>
      <w:pPr>
        <w:rPr>
          <w:rFonts w:hint="eastAsia"/>
          <w:lang w:val="en-US" w:eastAsia="zh-CN"/>
        </w:rPr>
      </w:pPr>
      <w:r>
        <w:drawing>
          <wp:inline distT="0" distB="0" distL="114300" distR="114300">
            <wp:extent cx="5266690" cy="2533015"/>
            <wp:effectExtent l="0" t="0" r="10160"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4"/>
                    <a:stretch>
                      <a:fillRect/>
                    </a:stretch>
                  </pic:blipFill>
                  <pic:spPr>
                    <a:xfrm>
                      <a:off x="0" y="0"/>
                      <a:ext cx="5266690" cy="2533015"/>
                    </a:xfrm>
                    <a:prstGeom prst="rect">
                      <a:avLst/>
                    </a:prstGeom>
                    <a:noFill/>
                    <a:ln w="9525">
                      <a:noFill/>
                    </a:ln>
                  </pic:spPr>
                </pic:pic>
              </a:graphicData>
            </a:graphic>
          </wp:inline>
        </w:drawing>
      </w:r>
      <w:r>
        <w:drawing>
          <wp:inline distT="0" distB="0" distL="114300" distR="114300">
            <wp:extent cx="5269865" cy="3030855"/>
            <wp:effectExtent l="0" t="0" r="6985" b="1714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5"/>
                    <a:stretch>
                      <a:fillRect/>
                    </a:stretch>
                  </pic:blipFill>
                  <pic:spPr>
                    <a:xfrm>
                      <a:off x="0" y="0"/>
                      <a:ext cx="5269865" cy="3030855"/>
                    </a:xfrm>
                    <a:prstGeom prst="rect">
                      <a:avLst/>
                    </a:prstGeom>
                    <a:noFill/>
                    <a:ln w="9525">
                      <a:noFill/>
                    </a:ln>
                  </pic:spPr>
                </pic:pic>
              </a:graphicData>
            </a:graphic>
          </wp:inline>
        </w:drawing>
      </w:r>
      <w:r>
        <w:drawing>
          <wp:inline distT="0" distB="0" distL="114300" distR="114300">
            <wp:extent cx="5270500" cy="3148965"/>
            <wp:effectExtent l="0" t="0" r="6350" b="133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36"/>
                    <a:stretch>
                      <a:fillRect/>
                    </a:stretch>
                  </pic:blipFill>
                  <pic:spPr>
                    <a:xfrm>
                      <a:off x="0" y="0"/>
                      <a:ext cx="5270500" cy="3148965"/>
                    </a:xfrm>
                    <a:prstGeom prst="rect">
                      <a:avLst/>
                    </a:prstGeom>
                    <a:noFill/>
                    <a:ln w="9525">
                      <a:noFill/>
                    </a:ln>
                  </pic:spPr>
                </pic:pic>
              </a:graphicData>
            </a:graphic>
          </wp:inline>
        </w:drawing>
      </w:r>
      <w:r>
        <w:drawing>
          <wp:inline distT="0" distB="0" distL="114300" distR="114300">
            <wp:extent cx="5264785" cy="2705100"/>
            <wp:effectExtent l="0" t="0" r="1206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7"/>
                    <a:stretch>
                      <a:fillRect/>
                    </a:stretch>
                  </pic:blipFill>
                  <pic:spPr>
                    <a:xfrm>
                      <a:off x="0" y="0"/>
                      <a:ext cx="5264785" cy="2705100"/>
                    </a:xfrm>
                    <a:prstGeom prst="rect">
                      <a:avLst/>
                    </a:prstGeom>
                    <a:noFill/>
                    <a:ln w="9525">
                      <a:noFill/>
                    </a:ln>
                  </pic:spPr>
                </pic:pic>
              </a:graphicData>
            </a:graphic>
          </wp:inline>
        </w:drawing>
      </w:r>
    </w:p>
    <w:p>
      <w:pPr>
        <w:pStyle w:val="4"/>
        <w:numPr>
          <w:ilvl w:val="0"/>
          <w:numId w:val="0"/>
        </w:numPr>
        <w:spacing w:line="360" w:lineRule="auto"/>
        <w:ind w:leftChars="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技术支持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使用培训是平台售后重要组成部分，在项目实施过程中，我们将根据需要为客户设定相应的培训计划，从而保证图书馆能快速熟练使用平台。我们将根据实际情况，提供专员免费上门培训服务讲解平台使用，以及平台操作手册等文档。</w:t>
      </w:r>
    </w:p>
    <w:p>
      <w:pPr>
        <w:pStyle w:val="17"/>
        <w:numPr>
          <w:ilvl w:val="0"/>
          <w:numId w:val="7"/>
        </w:numPr>
        <w:spacing w:line="360" w:lineRule="auto"/>
        <w:ind w:firstLineChars="0"/>
        <w:rPr>
          <w:rFonts w:hint="eastAsia" w:ascii="宋体" w:hAnsi="宋体" w:eastAsia="宋体" w:cs="宋体"/>
          <w:b/>
          <w:bCs/>
          <w:sz w:val="24"/>
          <w:szCs w:val="24"/>
        </w:rPr>
      </w:pPr>
      <w:r>
        <w:rPr>
          <w:rFonts w:hint="eastAsia" w:ascii="宋体" w:hAnsi="宋体" w:eastAsia="宋体" w:cs="宋体"/>
          <w:b/>
          <w:bCs/>
          <w:sz w:val="24"/>
          <w:szCs w:val="24"/>
        </w:rPr>
        <w:t>上门培训</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技术人员上门服务为客户讲解平台使用，通过详实解说直观的实际操作演示产品相关功能操作。</w:t>
      </w:r>
    </w:p>
    <w:p>
      <w:pPr>
        <w:pStyle w:val="17"/>
        <w:numPr>
          <w:ilvl w:val="0"/>
          <w:numId w:val="7"/>
        </w:numPr>
        <w:spacing w:line="360" w:lineRule="auto"/>
        <w:ind w:firstLineChars="0"/>
        <w:rPr>
          <w:rFonts w:hint="eastAsia" w:ascii="宋体" w:hAnsi="宋体" w:eastAsia="宋体" w:cs="宋体"/>
          <w:b/>
          <w:bCs/>
          <w:sz w:val="24"/>
          <w:szCs w:val="24"/>
        </w:rPr>
      </w:pPr>
      <w:r>
        <w:rPr>
          <w:rFonts w:hint="eastAsia" w:ascii="宋体" w:hAnsi="宋体" w:eastAsia="宋体" w:cs="宋体"/>
          <w:b/>
          <w:bCs/>
          <w:sz w:val="24"/>
          <w:szCs w:val="24"/>
        </w:rPr>
        <w:t>提供产品操作手册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为客户提供产品用户使用说明书、管理员操作手册等文档。</w:t>
      </w:r>
    </w:p>
    <w:p>
      <w:pPr>
        <w:pStyle w:val="17"/>
        <w:numPr>
          <w:ilvl w:val="0"/>
          <w:numId w:val="7"/>
        </w:numPr>
        <w:spacing w:line="360" w:lineRule="auto"/>
        <w:ind w:firstLineChars="0"/>
        <w:rPr>
          <w:rFonts w:hint="eastAsia" w:ascii="宋体" w:hAnsi="宋体" w:eastAsia="宋体" w:cs="宋体"/>
          <w:b/>
          <w:bCs/>
          <w:sz w:val="24"/>
          <w:szCs w:val="24"/>
        </w:rPr>
      </w:pPr>
      <w:r>
        <w:rPr>
          <w:rFonts w:hint="eastAsia" w:ascii="宋体" w:hAnsi="宋体" w:eastAsia="宋体" w:cs="宋体"/>
          <w:b/>
          <w:bCs/>
          <w:sz w:val="24"/>
          <w:szCs w:val="24"/>
        </w:rPr>
        <w:t>24小时在线客户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提供24小时应急服务响应。电话、QQ、微信提供即时服务，对未能当时解决的问题，在24小时内回复，告知用户相关解决方案及时间。</w:t>
      </w:r>
    </w:p>
    <w:p>
      <w:pPr>
        <w:pStyle w:val="3"/>
        <w:numPr>
          <w:ilvl w:val="0"/>
          <w:numId w:val="8"/>
        </w:numPr>
        <w:spacing w:line="360" w:lineRule="auto"/>
        <w:ind w:leftChars="0"/>
        <w:rPr>
          <w:rFonts w:hint="eastAsia"/>
          <w:sz w:val="28"/>
          <w:szCs w:val="28"/>
          <w:lang w:eastAsia="zh-CN"/>
        </w:rPr>
      </w:pPr>
      <w:r>
        <w:rPr>
          <w:rFonts w:hint="eastAsia"/>
          <w:sz w:val="28"/>
          <w:szCs w:val="28"/>
        </w:rPr>
        <w:t>产品</w:t>
      </w:r>
      <w:r>
        <w:rPr>
          <w:rFonts w:hint="eastAsia"/>
          <w:sz w:val="28"/>
          <w:szCs w:val="28"/>
          <w:lang w:eastAsia="zh-CN"/>
        </w:rPr>
        <w:t>报价</w:t>
      </w:r>
    </w:p>
    <w:tbl>
      <w:tblPr>
        <w:tblStyle w:val="14"/>
        <w:tblW w:w="88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1576"/>
        <w:gridCol w:w="2197"/>
        <w:gridCol w:w="3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1564" w:type="dxa"/>
            <w:vAlign w:val="center"/>
          </w:tcPr>
          <w:p>
            <w:pPr>
              <w:spacing w:line="360" w:lineRule="auto"/>
              <w:jc w:val="center"/>
              <w:rPr>
                <w:rFonts w:hint="eastAsia" w:asciiTheme="minorEastAsia" w:hAnsiTheme="minorEastAsia"/>
                <w:szCs w:val="21"/>
                <w:lang w:eastAsia="zh-CN"/>
              </w:rPr>
            </w:pPr>
            <w:r>
              <w:rPr>
                <w:rFonts w:hint="eastAsia" w:asciiTheme="minorEastAsia" w:hAnsiTheme="minorEastAsia"/>
                <w:szCs w:val="21"/>
                <w:lang w:eastAsia="zh-CN"/>
              </w:rPr>
              <w:t>产品名称</w:t>
            </w:r>
          </w:p>
        </w:tc>
        <w:tc>
          <w:tcPr>
            <w:tcW w:w="1576" w:type="dxa"/>
            <w:vAlign w:val="center"/>
          </w:tcPr>
          <w:p>
            <w:pPr>
              <w:spacing w:line="360" w:lineRule="auto"/>
              <w:jc w:val="center"/>
              <w:rPr>
                <w:rFonts w:hint="eastAsia" w:asciiTheme="minorEastAsia" w:hAnsiTheme="minorEastAsia"/>
                <w:szCs w:val="21"/>
                <w:lang w:eastAsia="zh-CN"/>
              </w:rPr>
            </w:pPr>
            <w:r>
              <w:rPr>
                <w:rFonts w:hint="eastAsia" w:asciiTheme="minorEastAsia" w:hAnsiTheme="minorEastAsia"/>
                <w:szCs w:val="21"/>
                <w:lang w:eastAsia="zh-CN"/>
              </w:rPr>
              <w:t>单价（元</w:t>
            </w:r>
            <w:r>
              <w:rPr>
                <w:rFonts w:hint="eastAsia" w:asciiTheme="minorEastAsia" w:hAnsiTheme="minorEastAsia"/>
                <w:szCs w:val="21"/>
                <w:lang w:val="en-US" w:eastAsia="zh-CN"/>
              </w:rPr>
              <w:t>/本</w:t>
            </w:r>
            <w:r>
              <w:rPr>
                <w:rFonts w:hint="eastAsia" w:asciiTheme="minorEastAsia" w:hAnsiTheme="minorEastAsia"/>
                <w:szCs w:val="21"/>
                <w:lang w:eastAsia="zh-CN"/>
              </w:rPr>
              <w:t>）</w:t>
            </w:r>
          </w:p>
        </w:tc>
        <w:tc>
          <w:tcPr>
            <w:tcW w:w="2197" w:type="dxa"/>
            <w:vAlign w:val="center"/>
          </w:tcPr>
          <w:p>
            <w:pPr>
              <w:spacing w:line="360" w:lineRule="auto"/>
              <w:jc w:val="center"/>
              <w:rPr>
                <w:rFonts w:hint="eastAsia" w:asciiTheme="minorEastAsia" w:hAnsiTheme="minorEastAsia"/>
                <w:szCs w:val="21"/>
                <w:lang w:eastAsia="zh-CN"/>
              </w:rPr>
            </w:pPr>
            <w:r>
              <w:rPr>
                <w:rFonts w:hint="eastAsia" w:asciiTheme="minorEastAsia" w:hAnsiTheme="minorEastAsia"/>
                <w:szCs w:val="21"/>
                <w:lang w:eastAsia="zh-CN"/>
              </w:rPr>
              <w:t>格式</w:t>
            </w:r>
          </w:p>
        </w:tc>
        <w:tc>
          <w:tcPr>
            <w:tcW w:w="3530" w:type="dxa"/>
            <w:vAlign w:val="center"/>
          </w:tcPr>
          <w:p>
            <w:pPr>
              <w:spacing w:line="360" w:lineRule="auto"/>
              <w:ind w:firstLine="420" w:firstLineChars="200"/>
              <w:jc w:val="center"/>
              <w:rPr>
                <w:rFonts w:hint="eastAsia" w:asciiTheme="minorEastAsia" w:hAnsiTheme="minorEastAsia"/>
                <w:szCs w:val="21"/>
                <w:lang w:eastAsia="zh-CN"/>
              </w:rPr>
            </w:pPr>
            <w:r>
              <w:rPr>
                <w:rFonts w:hint="eastAsia" w:asciiTheme="minorEastAsia" w:hAnsiTheme="minorEastAsia"/>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1564" w:type="dxa"/>
            <w:vAlign w:val="center"/>
          </w:tcPr>
          <w:p>
            <w:pPr>
              <w:spacing w:line="360" w:lineRule="auto"/>
              <w:jc w:val="center"/>
              <w:rPr>
                <w:rFonts w:hint="eastAsia" w:asciiTheme="minorEastAsia" w:hAnsiTheme="minorEastAsia"/>
                <w:szCs w:val="21"/>
                <w:lang w:eastAsia="zh-CN"/>
              </w:rPr>
            </w:pPr>
            <w:r>
              <w:rPr>
                <w:rFonts w:hint="eastAsia" w:asciiTheme="minorEastAsia" w:hAnsiTheme="minorEastAsia"/>
                <w:szCs w:val="21"/>
                <w:lang w:eastAsia="zh-CN"/>
              </w:rPr>
              <w:t>田田阅读</w:t>
            </w:r>
          </w:p>
        </w:tc>
        <w:tc>
          <w:tcPr>
            <w:tcW w:w="1576" w:type="dxa"/>
            <w:vAlign w:val="center"/>
          </w:tcPr>
          <w:p>
            <w:pPr>
              <w:spacing w:line="360" w:lineRule="auto"/>
              <w:jc w:val="center"/>
              <w:rPr>
                <w:rFonts w:hint="eastAsia" w:asciiTheme="minorEastAsia" w:hAnsiTheme="minorEastAsia"/>
                <w:szCs w:val="21"/>
                <w:lang w:val="en-US" w:eastAsia="zh-CN"/>
              </w:rPr>
            </w:pPr>
            <w:r>
              <w:rPr>
                <w:rFonts w:hint="eastAsia" w:asciiTheme="minorEastAsia" w:hAnsiTheme="minorEastAsia"/>
                <w:szCs w:val="21"/>
                <w:lang w:val="en-US" w:eastAsia="zh-CN"/>
              </w:rPr>
              <w:t>10-15元/本</w:t>
            </w:r>
          </w:p>
        </w:tc>
        <w:tc>
          <w:tcPr>
            <w:tcW w:w="2197" w:type="dxa"/>
            <w:vAlign w:val="center"/>
          </w:tcPr>
          <w:p>
            <w:pPr>
              <w:spacing w:line="360" w:lineRule="auto"/>
              <w:jc w:val="center"/>
              <w:rPr>
                <w:rFonts w:hint="eastAsia" w:asciiTheme="minorEastAsia" w:hAnsiTheme="minorEastAsia"/>
                <w:szCs w:val="21"/>
                <w:lang w:val="en-US" w:eastAsia="zh-CN"/>
              </w:rPr>
            </w:pPr>
            <w:r>
              <w:rPr>
                <w:rFonts w:hint="eastAsia" w:asciiTheme="minorEastAsia" w:hAnsiTheme="minorEastAsia"/>
                <w:szCs w:val="21"/>
                <w:lang w:val="en-US" w:eastAsia="zh-CN"/>
              </w:rPr>
              <w:t>JPG/TXT/PDF</w:t>
            </w:r>
          </w:p>
        </w:tc>
        <w:tc>
          <w:tcPr>
            <w:tcW w:w="3530" w:type="dxa"/>
            <w:vAlign w:val="center"/>
          </w:tcPr>
          <w:p>
            <w:pPr>
              <w:spacing w:line="360" w:lineRule="auto"/>
              <w:jc w:val="left"/>
              <w:rPr>
                <w:rFonts w:hint="eastAsia" w:asciiTheme="minorEastAsia" w:hAnsiTheme="minorEastAsia"/>
                <w:szCs w:val="21"/>
                <w:lang w:eastAsia="zh-CN"/>
              </w:rPr>
            </w:pPr>
            <w:r>
              <w:rPr>
                <w:rFonts w:hint="eastAsia" w:asciiTheme="minorEastAsia" w:hAnsiTheme="minorEastAsia"/>
                <w:szCs w:val="21"/>
                <w:lang w:eastAsia="zh-CN"/>
              </w:rPr>
              <w:t>可书单选书，</w:t>
            </w:r>
            <w:r>
              <w:rPr>
                <w:rFonts w:hint="eastAsia" w:asciiTheme="minorEastAsia" w:hAnsiTheme="minorEastAsia"/>
                <w:szCs w:val="21"/>
                <w:lang w:val="en-US" w:eastAsia="zh-CN"/>
              </w:rPr>
              <w:t>提供近四年的新书，书单5万册左右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1564" w:type="dxa"/>
            <w:vAlign w:val="center"/>
          </w:tcPr>
          <w:p>
            <w:pPr>
              <w:spacing w:line="360" w:lineRule="auto"/>
              <w:jc w:val="center"/>
              <w:rPr>
                <w:rFonts w:hint="eastAsia" w:asciiTheme="minorEastAsia" w:hAnsiTheme="minorEastAsia"/>
                <w:szCs w:val="21"/>
              </w:rPr>
            </w:pPr>
            <w:r>
              <w:rPr>
                <w:rFonts w:hint="eastAsia" w:asciiTheme="minorEastAsia" w:hAnsiTheme="minorEastAsia"/>
                <w:szCs w:val="21"/>
                <w:lang w:eastAsia="zh-CN"/>
              </w:rPr>
              <w:t>田田阅读</w:t>
            </w:r>
          </w:p>
        </w:tc>
        <w:tc>
          <w:tcPr>
            <w:tcW w:w="1576" w:type="dxa"/>
            <w:vAlign w:val="center"/>
          </w:tcPr>
          <w:p>
            <w:pPr>
              <w:spacing w:line="360" w:lineRule="auto"/>
              <w:jc w:val="center"/>
              <w:rPr>
                <w:rFonts w:hint="eastAsia" w:asciiTheme="minorEastAsia" w:hAnsiTheme="minorEastAsia"/>
                <w:szCs w:val="21"/>
                <w:lang w:val="en-US" w:eastAsia="zh-CN"/>
              </w:rPr>
            </w:pPr>
            <w:r>
              <w:rPr>
                <w:rFonts w:hint="eastAsia" w:asciiTheme="minorEastAsia" w:hAnsiTheme="minorEastAsia"/>
                <w:szCs w:val="21"/>
                <w:lang w:val="en-US" w:eastAsia="zh-CN"/>
              </w:rPr>
              <w:t>20-25元/本</w:t>
            </w:r>
          </w:p>
        </w:tc>
        <w:tc>
          <w:tcPr>
            <w:tcW w:w="2197" w:type="dxa"/>
            <w:vAlign w:val="center"/>
          </w:tcPr>
          <w:p>
            <w:pPr>
              <w:spacing w:line="360" w:lineRule="auto"/>
              <w:jc w:val="center"/>
              <w:rPr>
                <w:rFonts w:hint="eastAsia" w:asciiTheme="minorEastAsia" w:hAnsiTheme="minorEastAsia"/>
                <w:szCs w:val="21"/>
                <w:lang w:val="en-US" w:eastAsia="zh-CN"/>
              </w:rPr>
            </w:pPr>
            <w:r>
              <w:rPr>
                <w:rFonts w:hint="eastAsia" w:asciiTheme="minorEastAsia" w:hAnsiTheme="minorEastAsia"/>
                <w:szCs w:val="21"/>
                <w:lang w:val="en-US" w:eastAsia="zh-CN"/>
              </w:rPr>
              <w:t>EPUB</w:t>
            </w:r>
          </w:p>
        </w:tc>
        <w:tc>
          <w:tcPr>
            <w:tcW w:w="3530" w:type="dxa"/>
            <w:vAlign w:val="center"/>
          </w:tcPr>
          <w:p>
            <w:pPr>
              <w:spacing w:line="360" w:lineRule="auto"/>
              <w:jc w:val="left"/>
              <w:rPr>
                <w:rFonts w:hint="eastAsia" w:asciiTheme="minorEastAsia" w:hAnsiTheme="minorEastAsia"/>
                <w:szCs w:val="21"/>
                <w:lang w:eastAsia="zh-CN"/>
              </w:rPr>
            </w:pPr>
            <w:r>
              <w:rPr>
                <w:rFonts w:hint="eastAsia" w:asciiTheme="minorEastAsia" w:hAnsiTheme="minorEastAsia"/>
                <w:szCs w:val="21"/>
                <w:lang w:eastAsia="zh-CN"/>
              </w:rPr>
              <w:t>可书单选书，共</w:t>
            </w:r>
            <w:r>
              <w:rPr>
                <w:rFonts w:hint="eastAsia" w:asciiTheme="minorEastAsia" w:hAnsiTheme="minorEastAsia"/>
                <w:szCs w:val="21"/>
                <w:lang w:val="en-US" w:eastAsia="zh-CN"/>
              </w:rPr>
              <w:t>5万册左右（包括27000册左右的小说）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1564" w:type="dxa"/>
            <w:vAlign w:val="center"/>
          </w:tcPr>
          <w:p>
            <w:pPr>
              <w:spacing w:line="360" w:lineRule="auto"/>
              <w:jc w:val="center"/>
              <w:rPr>
                <w:rFonts w:hint="eastAsia" w:asciiTheme="minorEastAsia" w:hAnsiTheme="minorEastAsia"/>
                <w:szCs w:val="21"/>
                <w:lang w:eastAsia="zh-CN"/>
              </w:rPr>
            </w:pPr>
            <w:r>
              <w:rPr>
                <w:rFonts w:hint="eastAsia" w:asciiTheme="minorEastAsia" w:hAnsiTheme="minorEastAsia"/>
                <w:szCs w:val="21"/>
                <w:lang w:eastAsia="zh-CN"/>
              </w:rPr>
              <w:t>田田阅读</w:t>
            </w:r>
          </w:p>
        </w:tc>
        <w:tc>
          <w:tcPr>
            <w:tcW w:w="1576" w:type="dxa"/>
            <w:vAlign w:val="center"/>
          </w:tcPr>
          <w:p>
            <w:pPr>
              <w:spacing w:line="360" w:lineRule="auto"/>
              <w:jc w:val="center"/>
              <w:rPr>
                <w:rFonts w:hint="eastAsia" w:asciiTheme="minorEastAsia" w:hAnsiTheme="minorEastAsia"/>
                <w:szCs w:val="21"/>
                <w:lang w:val="en-US" w:eastAsia="zh-CN"/>
              </w:rPr>
            </w:pPr>
            <w:r>
              <w:rPr>
                <w:rFonts w:hint="eastAsia" w:asciiTheme="minorEastAsia" w:hAnsiTheme="minorEastAsia"/>
                <w:szCs w:val="21"/>
                <w:lang w:val="en-US" w:eastAsia="zh-CN"/>
              </w:rPr>
              <w:t>10万/套</w:t>
            </w:r>
          </w:p>
        </w:tc>
        <w:tc>
          <w:tcPr>
            <w:tcW w:w="2197" w:type="dxa"/>
            <w:vAlign w:val="center"/>
          </w:tcPr>
          <w:p>
            <w:pPr>
              <w:spacing w:line="360" w:lineRule="auto"/>
              <w:jc w:val="center"/>
              <w:rPr>
                <w:rFonts w:hint="eastAsia" w:asciiTheme="minorEastAsia" w:hAnsiTheme="minorEastAsia"/>
                <w:szCs w:val="21"/>
                <w:lang w:val="en-US" w:eastAsia="zh-CN"/>
              </w:rPr>
            </w:pPr>
            <w:r>
              <w:rPr>
                <w:rFonts w:hint="eastAsia" w:asciiTheme="minorEastAsia" w:hAnsiTheme="minorEastAsia"/>
                <w:szCs w:val="21"/>
                <w:lang w:val="en-US" w:eastAsia="zh-CN"/>
              </w:rPr>
              <w:t>JPG/TXT/PDF</w:t>
            </w:r>
          </w:p>
        </w:tc>
        <w:tc>
          <w:tcPr>
            <w:tcW w:w="3530" w:type="dxa"/>
            <w:vAlign w:val="center"/>
          </w:tcPr>
          <w:p>
            <w:pPr>
              <w:spacing w:line="360" w:lineRule="auto"/>
              <w:jc w:val="left"/>
              <w:rPr>
                <w:rFonts w:hint="eastAsia" w:asciiTheme="minorEastAsia" w:hAnsiTheme="minorEastAsia"/>
                <w:szCs w:val="21"/>
                <w:lang w:eastAsia="zh-CN"/>
              </w:rPr>
            </w:pPr>
            <w:r>
              <w:rPr>
                <w:rFonts w:hint="eastAsia" w:asciiTheme="minorEastAsia" w:hAnsiTheme="minorEastAsia"/>
                <w:szCs w:val="21"/>
                <w:lang w:eastAsia="zh-CN"/>
              </w:rPr>
              <w:t>不可书单选书，打包价，</w:t>
            </w:r>
            <w:r>
              <w:rPr>
                <w:rFonts w:hint="eastAsia" w:asciiTheme="minorEastAsia" w:hAnsiTheme="minorEastAsia"/>
                <w:szCs w:val="21"/>
                <w:lang w:val="en-US" w:eastAsia="zh-CN"/>
              </w:rPr>
              <w:t>10万元5万册书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1564" w:type="dxa"/>
            <w:vAlign w:val="center"/>
          </w:tcPr>
          <w:p>
            <w:pPr>
              <w:spacing w:line="360" w:lineRule="auto"/>
              <w:jc w:val="center"/>
              <w:rPr>
                <w:rFonts w:hint="eastAsia" w:asciiTheme="minorEastAsia" w:hAnsiTheme="minorEastAsia"/>
                <w:szCs w:val="21"/>
                <w:lang w:eastAsia="zh-CN"/>
              </w:rPr>
            </w:pPr>
            <w:r>
              <w:rPr>
                <w:rFonts w:hint="eastAsia" w:asciiTheme="minorEastAsia" w:hAnsiTheme="minorEastAsia"/>
                <w:szCs w:val="21"/>
                <w:lang w:eastAsia="zh-CN"/>
              </w:rPr>
              <w:t>田田阅读</w:t>
            </w:r>
          </w:p>
        </w:tc>
        <w:tc>
          <w:tcPr>
            <w:tcW w:w="1576" w:type="dxa"/>
            <w:vAlign w:val="center"/>
          </w:tcPr>
          <w:p>
            <w:pPr>
              <w:spacing w:line="360" w:lineRule="auto"/>
              <w:jc w:val="center"/>
              <w:rPr>
                <w:rFonts w:hint="eastAsia" w:asciiTheme="minorEastAsia" w:hAnsiTheme="minorEastAsia"/>
                <w:szCs w:val="21"/>
                <w:lang w:val="en-US" w:eastAsia="zh-CN"/>
              </w:rPr>
            </w:pPr>
            <w:r>
              <w:rPr>
                <w:rFonts w:hint="eastAsia" w:asciiTheme="minorEastAsia" w:hAnsiTheme="minorEastAsia"/>
                <w:szCs w:val="21"/>
                <w:lang w:val="en-US" w:eastAsia="zh-CN"/>
              </w:rPr>
              <w:t>按折扣卖</w:t>
            </w:r>
          </w:p>
        </w:tc>
        <w:tc>
          <w:tcPr>
            <w:tcW w:w="2197" w:type="dxa"/>
            <w:vAlign w:val="center"/>
          </w:tcPr>
          <w:p>
            <w:pPr>
              <w:spacing w:line="360" w:lineRule="auto"/>
              <w:jc w:val="center"/>
              <w:rPr>
                <w:rFonts w:hint="eastAsia" w:asciiTheme="minorEastAsia" w:hAnsiTheme="minorEastAsia"/>
                <w:szCs w:val="21"/>
                <w:lang w:val="en-US" w:eastAsia="zh-CN"/>
              </w:rPr>
            </w:pPr>
            <w:r>
              <w:rPr>
                <w:rFonts w:hint="eastAsia" w:asciiTheme="minorEastAsia" w:hAnsiTheme="minorEastAsia"/>
                <w:szCs w:val="21"/>
                <w:lang w:val="en-US" w:eastAsia="zh-CN"/>
              </w:rPr>
              <w:t>JPG/TXT/PDF/EPUB</w:t>
            </w:r>
          </w:p>
        </w:tc>
        <w:tc>
          <w:tcPr>
            <w:tcW w:w="3530" w:type="dxa"/>
            <w:vAlign w:val="center"/>
          </w:tcPr>
          <w:p>
            <w:pPr>
              <w:spacing w:line="360" w:lineRule="auto"/>
              <w:jc w:val="left"/>
              <w:rPr>
                <w:rFonts w:hint="eastAsia" w:asciiTheme="minorEastAsia" w:hAnsiTheme="minorEastAsia"/>
                <w:szCs w:val="21"/>
                <w:lang w:val="en-US" w:eastAsia="zh-CN"/>
              </w:rPr>
            </w:pPr>
            <w:r>
              <w:rPr>
                <w:rFonts w:hint="eastAsia" w:asciiTheme="minorEastAsia" w:hAnsiTheme="minorEastAsia"/>
                <w:szCs w:val="21"/>
                <w:lang w:val="en-US" w:eastAsia="zh-CN"/>
              </w:rPr>
              <w:t>纸电同步的电子书按照纸书折扣销售，纸书配电子书</w:t>
            </w:r>
          </w:p>
        </w:tc>
      </w:tr>
    </w:tbl>
    <w:p>
      <w:pPr>
        <w:numPr>
          <w:ilvl w:val="0"/>
          <w:numId w:val="0"/>
        </w:numPr>
      </w:pPr>
    </w:p>
    <w:p>
      <w:pPr>
        <w:pStyle w:val="22"/>
        <w:spacing w:line="360" w:lineRule="auto"/>
        <w:ind w:left="425" w:firstLine="0" w:firstLineChars="0"/>
        <w:rPr>
          <w:rFonts w:hint="eastAsia" w:ascii="宋体" w:hAnsi="宋体" w:eastAsia="宋体" w:cs="宋体"/>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0420EE"/>
    <w:multiLevelType w:val="singleLevel"/>
    <w:tmpl w:val="830420EE"/>
    <w:lvl w:ilvl="0" w:tentative="0">
      <w:start w:val="1"/>
      <w:numFmt w:val="chineseCounting"/>
      <w:suff w:val="nothing"/>
      <w:lvlText w:val="%1、"/>
      <w:lvlJc w:val="left"/>
      <w:rPr>
        <w:rFonts w:hint="eastAsia"/>
      </w:rPr>
    </w:lvl>
  </w:abstractNum>
  <w:abstractNum w:abstractNumId="1">
    <w:nsid w:val="AFE3E390"/>
    <w:multiLevelType w:val="singleLevel"/>
    <w:tmpl w:val="AFE3E390"/>
    <w:lvl w:ilvl="0" w:tentative="0">
      <w:start w:val="1"/>
      <w:numFmt w:val="bullet"/>
      <w:lvlText w:val=""/>
      <w:lvlJc w:val="left"/>
      <w:pPr>
        <w:ind w:left="420" w:hanging="420"/>
      </w:pPr>
      <w:rPr>
        <w:rFonts w:hint="default" w:ascii="Wingdings" w:hAnsi="Wingdings"/>
      </w:rPr>
    </w:lvl>
  </w:abstractNum>
  <w:abstractNum w:abstractNumId="2">
    <w:nsid w:val="348C17DD"/>
    <w:multiLevelType w:val="multilevel"/>
    <w:tmpl w:val="348C17D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98A6D2D"/>
    <w:multiLevelType w:val="multilevel"/>
    <w:tmpl w:val="498A6D2D"/>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5907D7A3"/>
    <w:multiLevelType w:val="singleLevel"/>
    <w:tmpl w:val="5907D7A3"/>
    <w:lvl w:ilvl="0" w:tentative="0">
      <w:start w:val="1"/>
      <w:numFmt w:val="decimal"/>
      <w:suff w:val="nothing"/>
      <w:lvlText w:val="%1、"/>
      <w:lvlJc w:val="left"/>
    </w:lvl>
  </w:abstractNum>
  <w:abstractNum w:abstractNumId="5">
    <w:nsid w:val="5907EE33"/>
    <w:multiLevelType w:val="singleLevel"/>
    <w:tmpl w:val="5907EE33"/>
    <w:lvl w:ilvl="0" w:tentative="0">
      <w:start w:val="1"/>
      <w:numFmt w:val="decimal"/>
      <w:suff w:val="nothing"/>
      <w:lvlText w:val="%1、"/>
      <w:lvlJc w:val="left"/>
    </w:lvl>
  </w:abstractNum>
  <w:abstractNum w:abstractNumId="6">
    <w:nsid w:val="59899039"/>
    <w:multiLevelType w:val="multilevel"/>
    <w:tmpl w:val="59899039"/>
    <w:lvl w:ilvl="0" w:tentative="0">
      <w:start w:val="1"/>
      <w:numFmt w:val="decimal"/>
      <w:lvlText w:val="%1."/>
      <w:lvlJc w:val="left"/>
      <w:pPr>
        <w:ind w:left="425" w:leftChars="0" w:hanging="425" w:firstLineChars="0"/>
      </w:pPr>
      <w:rPr>
        <w:rFonts w:hint="default"/>
      </w:rPr>
    </w:lvl>
    <w:lvl w:ilvl="1" w:tentative="0">
      <w:start w:val="1"/>
      <w:numFmt w:val="decimal"/>
      <w:lvlText w:val="%1.%2."/>
      <w:lvlJc w:val="left"/>
      <w:pPr>
        <w:ind w:left="567" w:leftChars="0" w:hanging="567" w:firstLineChars="0"/>
      </w:pPr>
      <w:rPr>
        <w:rFonts w:hint="default"/>
      </w:rPr>
    </w:lvl>
    <w:lvl w:ilvl="2" w:tentative="0">
      <w:start w:val="1"/>
      <w:numFmt w:val="decimal"/>
      <w:lvlText w:val="%1.%2.%3."/>
      <w:lvlJc w:val="left"/>
      <w:pPr>
        <w:ind w:left="709" w:leftChars="0" w:hanging="709" w:firstLineChars="0"/>
      </w:pPr>
      <w:rPr>
        <w:rFonts w:hint="default"/>
      </w:rPr>
    </w:lvl>
    <w:lvl w:ilvl="3" w:tentative="0">
      <w:start w:val="1"/>
      <w:numFmt w:val="decimal"/>
      <w:lvlText w:val="%1.%2.%3.%4."/>
      <w:lvlJc w:val="left"/>
      <w:pPr>
        <w:ind w:left="850" w:leftChars="0" w:hanging="850" w:firstLineChars="0"/>
      </w:pPr>
      <w:rPr>
        <w:rFonts w:hint="default"/>
      </w:rPr>
    </w:lvl>
    <w:lvl w:ilvl="4" w:tentative="0">
      <w:start w:val="1"/>
      <w:numFmt w:val="decimal"/>
      <w:lvlText w:val="%1.%2.%3.%4.%5."/>
      <w:lvlJc w:val="left"/>
      <w:pPr>
        <w:ind w:left="991" w:leftChars="0" w:hanging="991" w:firstLineChars="0"/>
      </w:pPr>
      <w:rPr>
        <w:rFonts w:hint="default"/>
      </w:rPr>
    </w:lvl>
    <w:lvl w:ilvl="5" w:tentative="0">
      <w:start w:val="1"/>
      <w:numFmt w:val="decimal"/>
      <w:lvlText w:val="%1.%2.%3.%4.%5.%6."/>
      <w:lvlJc w:val="left"/>
      <w:pPr>
        <w:ind w:left="1134" w:leftChars="0" w:hanging="1134" w:firstLineChars="0"/>
      </w:pPr>
      <w:rPr>
        <w:rFonts w:hint="default"/>
      </w:rPr>
    </w:lvl>
    <w:lvl w:ilvl="6" w:tentative="0">
      <w:start w:val="1"/>
      <w:numFmt w:val="decimal"/>
      <w:lvlText w:val="%1.%2.%3.%4.%5.%6.%7."/>
      <w:lvlJc w:val="left"/>
      <w:pPr>
        <w:ind w:left="1275" w:leftChars="0" w:hanging="1275" w:firstLineChars="0"/>
      </w:pPr>
      <w:rPr>
        <w:rFonts w:hint="default"/>
      </w:rPr>
    </w:lvl>
    <w:lvl w:ilvl="7" w:tentative="0">
      <w:start w:val="1"/>
      <w:numFmt w:val="decimal"/>
      <w:lvlText w:val="%1.%2.%3.%4.%5.%6.%7.%8."/>
      <w:lvlJc w:val="left"/>
      <w:pPr>
        <w:ind w:left="1418" w:leftChars="0" w:hanging="1418" w:firstLineChars="0"/>
      </w:pPr>
      <w:rPr>
        <w:rFonts w:hint="default"/>
      </w:rPr>
    </w:lvl>
    <w:lvl w:ilvl="8" w:tentative="0">
      <w:start w:val="1"/>
      <w:numFmt w:val="decimal"/>
      <w:lvlText w:val="%1.%2.%3.%4.%5.%6.%7.%8.%9."/>
      <w:lvlJc w:val="left"/>
      <w:pPr>
        <w:ind w:left="1558" w:leftChars="0" w:hanging="1558" w:firstLineChars="0"/>
      </w:pPr>
      <w:rPr>
        <w:rFonts w:hint="default"/>
      </w:rPr>
    </w:lvl>
  </w:abstractNum>
  <w:abstractNum w:abstractNumId="7">
    <w:nsid w:val="620E3227"/>
    <w:multiLevelType w:val="singleLevel"/>
    <w:tmpl w:val="620E3227"/>
    <w:lvl w:ilvl="0" w:tentative="0">
      <w:start w:val="5"/>
      <w:numFmt w:val="chineseCounting"/>
      <w:suff w:val="nothing"/>
      <w:lvlText w:val="%1、"/>
      <w:lvlJc w:val="left"/>
      <w:rPr>
        <w:rFonts w:hint="eastAsia"/>
      </w:r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574"/>
    <w:rsid w:val="00053964"/>
    <w:rsid w:val="00053C19"/>
    <w:rsid w:val="000844C9"/>
    <w:rsid w:val="000F41C4"/>
    <w:rsid w:val="00126480"/>
    <w:rsid w:val="001C14A0"/>
    <w:rsid w:val="001C520A"/>
    <w:rsid w:val="002067BA"/>
    <w:rsid w:val="002B3600"/>
    <w:rsid w:val="002B7CE2"/>
    <w:rsid w:val="00360182"/>
    <w:rsid w:val="00374CCD"/>
    <w:rsid w:val="0038247B"/>
    <w:rsid w:val="003859FE"/>
    <w:rsid w:val="003B5DCA"/>
    <w:rsid w:val="003E1701"/>
    <w:rsid w:val="00403BBA"/>
    <w:rsid w:val="00420F27"/>
    <w:rsid w:val="00423668"/>
    <w:rsid w:val="00424448"/>
    <w:rsid w:val="00464303"/>
    <w:rsid w:val="004747E8"/>
    <w:rsid w:val="00492304"/>
    <w:rsid w:val="004970DE"/>
    <w:rsid w:val="004F33CE"/>
    <w:rsid w:val="004F4E19"/>
    <w:rsid w:val="005103D9"/>
    <w:rsid w:val="005142ED"/>
    <w:rsid w:val="005354A3"/>
    <w:rsid w:val="005673C7"/>
    <w:rsid w:val="005717CD"/>
    <w:rsid w:val="00595F20"/>
    <w:rsid w:val="005A6C44"/>
    <w:rsid w:val="005C13CF"/>
    <w:rsid w:val="005E7807"/>
    <w:rsid w:val="005F1265"/>
    <w:rsid w:val="00605EEA"/>
    <w:rsid w:val="006131C0"/>
    <w:rsid w:val="00622B02"/>
    <w:rsid w:val="006327A2"/>
    <w:rsid w:val="00637230"/>
    <w:rsid w:val="006413E3"/>
    <w:rsid w:val="006461C0"/>
    <w:rsid w:val="006A1601"/>
    <w:rsid w:val="006B4BD0"/>
    <w:rsid w:val="006C228E"/>
    <w:rsid w:val="007245F8"/>
    <w:rsid w:val="007449D3"/>
    <w:rsid w:val="007567A1"/>
    <w:rsid w:val="00766C9E"/>
    <w:rsid w:val="0077451F"/>
    <w:rsid w:val="00782089"/>
    <w:rsid w:val="00787574"/>
    <w:rsid w:val="00790871"/>
    <w:rsid w:val="007D2AED"/>
    <w:rsid w:val="007E329E"/>
    <w:rsid w:val="0084546B"/>
    <w:rsid w:val="008520BF"/>
    <w:rsid w:val="00891977"/>
    <w:rsid w:val="009508CE"/>
    <w:rsid w:val="00972F08"/>
    <w:rsid w:val="009A73CB"/>
    <w:rsid w:val="00A15460"/>
    <w:rsid w:val="00A43EB2"/>
    <w:rsid w:val="00A96541"/>
    <w:rsid w:val="00AB5F27"/>
    <w:rsid w:val="00AD760A"/>
    <w:rsid w:val="00B01374"/>
    <w:rsid w:val="00B41AA8"/>
    <w:rsid w:val="00B57D7F"/>
    <w:rsid w:val="00B64717"/>
    <w:rsid w:val="00BA0648"/>
    <w:rsid w:val="00BB68D5"/>
    <w:rsid w:val="00C226D8"/>
    <w:rsid w:val="00C27C1B"/>
    <w:rsid w:val="00C67C8C"/>
    <w:rsid w:val="00C74F6B"/>
    <w:rsid w:val="00C91CB4"/>
    <w:rsid w:val="00E048C5"/>
    <w:rsid w:val="00E05528"/>
    <w:rsid w:val="00E10184"/>
    <w:rsid w:val="00E431FA"/>
    <w:rsid w:val="00E66A03"/>
    <w:rsid w:val="00EE089C"/>
    <w:rsid w:val="00EE48D1"/>
    <w:rsid w:val="00FE3E98"/>
    <w:rsid w:val="01C92B37"/>
    <w:rsid w:val="021E649C"/>
    <w:rsid w:val="024831E2"/>
    <w:rsid w:val="024F1CF6"/>
    <w:rsid w:val="0313329E"/>
    <w:rsid w:val="03777D73"/>
    <w:rsid w:val="04A7666B"/>
    <w:rsid w:val="04AE3BD4"/>
    <w:rsid w:val="04D528CD"/>
    <w:rsid w:val="05485AB1"/>
    <w:rsid w:val="05A7752A"/>
    <w:rsid w:val="071A21DE"/>
    <w:rsid w:val="079930FC"/>
    <w:rsid w:val="08B05233"/>
    <w:rsid w:val="09102880"/>
    <w:rsid w:val="098C5D30"/>
    <w:rsid w:val="0A411F86"/>
    <w:rsid w:val="0AAF12E2"/>
    <w:rsid w:val="0ABE08C0"/>
    <w:rsid w:val="0B2538A5"/>
    <w:rsid w:val="0B4553FF"/>
    <w:rsid w:val="0B744C7F"/>
    <w:rsid w:val="0B9506C4"/>
    <w:rsid w:val="0CD51966"/>
    <w:rsid w:val="0D215A83"/>
    <w:rsid w:val="0DD805BF"/>
    <w:rsid w:val="0E2D5A64"/>
    <w:rsid w:val="0F835ABC"/>
    <w:rsid w:val="114F18CE"/>
    <w:rsid w:val="11F52D36"/>
    <w:rsid w:val="12195932"/>
    <w:rsid w:val="12721A01"/>
    <w:rsid w:val="128E61BF"/>
    <w:rsid w:val="133E73F2"/>
    <w:rsid w:val="1368246E"/>
    <w:rsid w:val="139F0A1B"/>
    <w:rsid w:val="13A7281E"/>
    <w:rsid w:val="14CE209A"/>
    <w:rsid w:val="14D323D6"/>
    <w:rsid w:val="151F3DCA"/>
    <w:rsid w:val="163D2258"/>
    <w:rsid w:val="177637B6"/>
    <w:rsid w:val="177B62C4"/>
    <w:rsid w:val="179C63EF"/>
    <w:rsid w:val="17B01904"/>
    <w:rsid w:val="17F45331"/>
    <w:rsid w:val="19E7505B"/>
    <w:rsid w:val="1A582523"/>
    <w:rsid w:val="1AA27984"/>
    <w:rsid w:val="1B446BA4"/>
    <w:rsid w:val="1BCF297A"/>
    <w:rsid w:val="1C9C245C"/>
    <w:rsid w:val="1DEA4AF2"/>
    <w:rsid w:val="1F196F2E"/>
    <w:rsid w:val="1F3C4DD1"/>
    <w:rsid w:val="1F683F58"/>
    <w:rsid w:val="1FA0440E"/>
    <w:rsid w:val="206A1FEA"/>
    <w:rsid w:val="20927735"/>
    <w:rsid w:val="20C24182"/>
    <w:rsid w:val="20EA71E8"/>
    <w:rsid w:val="20F72D83"/>
    <w:rsid w:val="21D57CAC"/>
    <w:rsid w:val="2238287D"/>
    <w:rsid w:val="230E0B82"/>
    <w:rsid w:val="231A321C"/>
    <w:rsid w:val="236841C0"/>
    <w:rsid w:val="23D41937"/>
    <w:rsid w:val="2590407C"/>
    <w:rsid w:val="25B360AB"/>
    <w:rsid w:val="27293419"/>
    <w:rsid w:val="273657F9"/>
    <w:rsid w:val="27870BAB"/>
    <w:rsid w:val="281526E9"/>
    <w:rsid w:val="283A6565"/>
    <w:rsid w:val="28727E8B"/>
    <w:rsid w:val="28AF59B3"/>
    <w:rsid w:val="291F1104"/>
    <w:rsid w:val="295517AC"/>
    <w:rsid w:val="2A381A5F"/>
    <w:rsid w:val="2A5D6762"/>
    <w:rsid w:val="2ADB399B"/>
    <w:rsid w:val="2AF84F7E"/>
    <w:rsid w:val="2BB76289"/>
    <w:rsid w:val="2BE72CDE"/>
    <w:rsid w:val="2C9B29F6"/>
    <w:rsid w:val="2CA7008C"/>
    <w:rsid w:val="2CFD64F6"/>
    <w:rsid w:val="2D001C8A"/>
    <w:rsid w:val="2D7277C9"/>
    <w:rsid w:val="2DEC755E"/>
    <w:rsid w:val="2E1F03D5"/>
    <w:rsid w:val="2E241481"/>
    <w:rsid w:val="2E693F15"/>
    <w:rsid w:val="2E9137CF"/>
    <w:rsid w:val="2EA11D09"/>
    <w:rsid w:val="2EB351EC"/>
    <w:rsid w:val="2EC602AB"/>
    <w:rsid w:val="2ED15602"/>
    <w:rsid w:val="2F517826"/>
    <w:rsid w:val="2F9D1E0E"/>
    <w:rsid w:val="2FC73E0C"/>
    <w:rsid w:val="2FCD725E"/>
    <w:rsid w:val="30131D6E"/>
    <w:rsid w:val="306B7213"/>
    <w:rsid w:val="313B437E"/>
    <w:rsid w:val="31942949"/>
    <w:rsid w:val="31AD7135"/>
    <w:rsid w:val="31BA512E"/>
    <w:rsid w:val="32A64192"/>
    <w:rsid w:val="32AA02CE"/>
    <w:rsid w:val="33075E61"/>
    <w:rsid w:val="330A57F7"/>
    <w:rsid w:val="33BC2704"/>
    <w:rsid w:val="342515AE"/>
    <w:rsid w:val="350A07D4"/>
    <w:rsid w:val="357D56E6"/>
    <w:rsid w:val="363E605D"/>
    <w:rsid w:val="36B009EC"/>
    <w:rsid w:val="37267D06"/>
    <w:rsid w:val="37870E97"/>
    <w:rsid w:val="37915A82"/>
    <w:rsid w:val="37B30390"/>
    <w:rsid w:val="37D9748B"/>
    <w:rsid w:val="392D7642"/>
    <w:rsid w:val="39881B2F"/>
    <w:rsid w:val="3AB761C1"/>
    <w:rsid w:val="3B597E6F"/>
    <w:rsid w:val="3B721C70"/>
    <w:rsid w:val="3B727CF6"/>
    <w:rsid w:val="3B83691E"/>
    <w:rsid w:val="3C0C5A9F"/>
    <w:rsid w:val="3C325ECC"/>
    <w:rsid w:val="3C726707"/>
    <w:rsid w:val="3CDB535E"/>
    <w:rsid w:val="3D105E7D"/>
    <w:rsid w:val="3D477DC8"/>
    <w:rsid w:val="3D6477C0"/>
    <w:rsid w:val="3D762552"/>
    <w:rsid w:val="3DC825EA"/>
    <w:rsid w:val="3DF22FF2"/>
    <w:rsid w:val="3E5A54B4"/>
    <w:rsid w:val="3EE66D73"/>
    <w:rsid w:val="3F150963"/>
    <w:rsid w:val="3FB20F16"/>
    <w:rsid w:val="40907D4D"/>
    <w:rsid w:val="40AA6F2E"/>
    <w:rsid w:val="40CD16C0"/>
    <w:rsid w:val="41857051"/>
    <w:rsid w:val="41B9765C"/>
    <w:rsid w:val="4282476F"/>
    <w:rsid w:val="42AE11F1"/>
    <w:rsid w:val="43E20918"/>
    <w:rsid w:val="44B12881"/>
    <w:rsid w:val="45053DC9"/>
    <w:rsid w:val="455E0BE8"/>
    <w:rsid w:val="45816BF9"/>
    <w:rsid w:val="467B60E1"/>
    <w:rsid w:val="468A60DC"/>
    <w:rsid w:val="46BD2433"/>
    <w:rsid w:val="47357DB2"/>
    <w:rsid w:val="47620D2D"/>
    <w:rsid w:val="478240BE"/>
    <w:rsid w:val="48B6303A"/>
    <w:rsid w:val="49055793"/>
    <w:rsid w:val="49B65A42"/>
    <w:rsid w:val="4BE23592"/>
    <w:rsid w:val="4C9A163A"/>
    <w:rsid w:val="4CE85D88"/>
    <w:rsid w:val="4D4A20E4"/>
    <w:rsid w:val="4E22534B"/>
    <w:rsid w:val="4E605FC3"/>
    <w:rsid w:val="4F661F4E"/>
    <w:rsid w:val="51477F64"/>
    <w:rsid w:val="517C27C2"/>
    <w:rsid w:val="522D7C02"/>
    <w:rsid w:val="52307D3E"/>
    <w:rsid w:val="52E35284"/>
    <w:rsid w:val="52F85787"/>
    <w:rsid w:val="531532F3"/>
    <w:rsid w:val="53E618BE"/>
    <w:rsid w:val="541A0B7D"/>
    <w:rsid w:val="54CB5772"/>
    <w:rsid w:val="5541524C"/>
    <w:rsid w:val="56787753"/>
    <w:rsid w:val="56BF7D7F"/>
    <w:rsid w:val="56EE2692"/>
    <w:rsid w:val="57B11802"/>
    <w:rsid w:val="57E577E2"/>
    <w:rsid w:val="58243CAB"/>
    <w:rsid w:val="584B09B5"/>
    <w:rsid w:val="58522071"/>
    <w:rsid w:val="5D5030EC"/>
    <w:rsid w:val="5E7E3CD7"/>
    <w:rsid w:val="5EE51EEA"/>
    <w:rsid w:val="5F906056"/>
    <w:rsid w:val="60684EC3"/>
    <w:rsid w:val="60AC0F32"/>
    <w:rsid w:val="60CF6C05"/>
    <w:rsid w:val="60F9645E"/>
    <w:rsid w:val="610E0E2A"/>
    <w:rsid w:val="6126394F"/>
    <w:rsid w:val="61B72BFE"/>
    <w:rsid w:val="61E71E0C"/>
    <w:rsid w:val="62B73D7F"/>
    <w:rsid w:val="62C32F24"/>
    <w:rsid w:val="62DD3F12"/>
    <w:rsid w:val="639E1694"/>
    <w:rsid w:val="63BB5863"/>
    <w:rsid w:val="63EE5893"/>
    <w:rsid w:val="648343B6"/>
    <w:rsid w:val="659667E0"/>
    <w:rsid w:val="67315909"/>
    <w:rsid w:val="674F4567"/>
    <w:rsid w:val="67705B8D"/>
    <w:rsid w:val="67A151C3"/>
    <w:rsid w:val="68AA13A4"/>
    <w:rsid w:val="68E963C6"/>
    <w:rsid w:val="69592D7E"/>
    <w:rsid w:val="69901E6A"/>
    <w:rsid w:val="69A20848"/>
    <w:rsid w:val="6A764953"/>
    <w:rsid w:val="6B141A73"/>
    <w:rsid w:val="6B1854FA"/>
    <w:rsid w:val="6B916939"/>
    <w:rsid w:val="6CCB213F"/>
    <w:rsid w:val="6CEC3660"/>
    <w:rsid w:val="6D3B7AE1"/>
    <w:rsid w:val="6DF76BA3"/>
    <w:rsid w:val="6E3E31C5"/>
    <w:rsid w:val="6E7D37BA"/>
    <w:rsid w:val="6E851339"/>
    <w:rsid w:val="700B2A6D"/>
    <w:rsid w:val="704B04C8"/>
    <w:rsid w:val="706D723A"/>
    <w:rsid w:val="706F5154"/>
    <w:rsid w:val="70C3065C"/>
    <w:rsid w:val="712831F7"/>
    <w:rsid w:val="718138F1"/>
    <w:rsid w:val="7184337C"/>
    <w:rsid w:val="723E14C8"/>
    <w:rsid w:val="72A44201"/>
    <w:rsid w:val="74753626"/>
    <w:rsid w:val="74C466EC"/>
    <w:rsid w:val="74ED39B8"/>
    <w:rsid w:val="758D5C90"/>
    <w:rsid w:val="76A534E1"/>
    <w:rsid w:val="7731699D"/>
    <w:rsid w:val="77E1027E"/>
    <w:rsid w:val="782350DB"/>
    <w:rsid w:val="79264138"/>
    <w:rsid w:val="79810FF1"/>
    <w:rsid w:val="79AF396F"/>
    <w:rsid w:val="79F41D4C"/>
    <w:rsid w:val="7A791F34"/>
    <w:rsid w:val="7AA95EAC"/>
    <w:rsid w:val="7BD63EAB"/>
    <w:rsid w:val="7C4240A2"/>
    <w:rsid w:val="7C7845AC"/>
    <w:rsid w:val="7CAB6F0B"/>
    <w:rsid w:val="7CD57AEA"/>
    <w:rsid w:val="7DC62580"/>
    <w:rsid w:val="7E5810CE"/>
    <w:rsid w:val="7E9F09BC"/>
    <w:rsid w:val="7F2C1264"/>
    <w:rsid w:val="7F495C24"/>
    <w:rsid w:val="7F8B4F31"/>
    <w:rsid w:val="7FB041B6"/>
    <w:rsid w:val="7FF070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8"/>
    <w:qFormat/>
    <w:uiPriority w:val="9"/>
    <w:pPr>
      <w:keepNext/>
      <w:keepLines/>
      <w:spacing w:before="340" w:after="330" w:line="578" w:lineRule="auto"/>
      <w:outlineLvl w:val="0"/>
    </w:pPr>
    <w:rPr>
      <w:rFonts w:asciiTheme="minorAscii" w:hAnsiTheme="minorAscii"/>
      <w:b/>
      <w:bCs/>
      <w:kern w:val="44"/>
      <w:sz w:val="32"/>
      <w:szCs w:val="44"/>
    </w:rPr>
  </w:style>
  <w:style w:type="paragraph" w:styleId="4">
    <w:name w:val="heading 2"/>
    <w:basedOn w:val="1"/>
    <w:next w:val="1"/>
    <w:link w:val="19"/>
    <w:unhideWhenUsed/>
    <w:qFormat/>
    <w:uiPriority w:val="9"/>
    <w:pPr>
      <w:keepNext/>
      <w:keepLines/>
      <w:spacing w:before="260" w:after="260" w:line="416" w:lineRule="auto"/>
      <w:outlineLvl w:val="1"/>
    </w:pPr>
    <w:rPr>
      <w:rFonts w:asciiTheme="majorAscii" w:hAnsiTheme="majorAscii" w:eastAsiaTheme="majorEastAsia" w:cstheme="majorBidi"/>
      <w:b/>
      <w:bCs/>
      <w:sz w:val="24"/>
      <w:szCs w:val="32"/>
    </w:rPr>
  </w:style>
  <w:style w:type="paragraph" w:styleId="5">
    <w:name w:val="heading 3"/>
    <w:basedOn w:val="1"/>
    <w:next w:val="1"/>
    <w:link w:val="21"/>
    <w:unhideWhenUsed/>
    <w:qFormat/>
    <w:uiPriority w:val="9"/>
    <w:pPr>
      <w:keepNext/>
      <w:keepLines/>
      <w:spacing w:before="260" w:after="260" w:line="416" w:lineRule="auto"/>
      <w:outlineLvl w:val="2"/>
    </w:pPr>
    <w:rPr>
      <w:rFonts w:asciiTheme="minorAscii" w:hAnsiTheme="minorAscii"/>
      <w:b/>
      <w:bCs/>
      <w:sz w:val="24"/>
      <w:szCs w:val="32"/>
    </w:rPr>
  </w:style>
  <w:style w:type="paragraph" w:styleId="2">
    <w:name w:val="heading 4"/>
    <w:basedOn w:val="1"/>
    <w:next w:val="1"/>
    <w:link w:val="2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unhideWhenUsed/>
    <w:qFormat/>
    <w:uiPriority w:val="39"/>
  </w:style>
  <w:style w:type="paragraph" w:styleId="9">
    <w:name w:val="Normal (Web)"/>
    <w:basedOn w:val="1"/>
    <w:unhideWhenUsed/>
    <w:qFormat/>
    <w:uiPriority w:val="99"/>
    <w:pPr>
      <w:spacing w:beforeAutospacing="1" w:afterAutospacing="1"/>
      <w:jc w:val="left"/>
    </w:pPr>
    <w:rPr>
      <w:rFonts w:cs="Times New Roman"/>
      <w:kern w:val="0"/>
      <w:sz w:val="24"/>
    </w:rPr>
  </w:style>
  <w:style w:type="character" w:styleId="11">
    <w:name w:val="FollowedHyperlink"/>
    <w:basedOn w:val="10"/>
    <w:unhideWhenUsed/>
    <w:qFormat/>
    <w:uiPriority w:val="99"/>
    <w:rPr>
      <w:color w:val="607FA6"/>
      <w:u w:val="none"/>
    </w:rPr>
  </w:style>
  <w:style w:type="character" w:styleId="12">
    <w:name w:val="Hyperlink"/>
    <w:basedOn w:val="10"/>
    <w:unhideWhenUsed/>
    <w:qFormat/>
    <w:uiPriority w:val="99"/>
    <w:rPr>
      <w:color w:val="607FA6"/>
      <w:u w:val="none"/>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页眉 字符"/>
    <w:basedOn w:val="10"/>
    <w:link w:val="7"/>
    <w:qFormat/>
    <w:uiPriority w:val="99"/>
    <w:rPr>
      <w:sz w:val="18"/>
      <w:szCs w:val="18"/>
    </w:rPr>
  </w:style>
  <w:style w:type="character" w:customStyle="1" w:styleId="16">
    <w:name w:val="页脚 字符"/>
    <w:basedOn w:val="10"/>
    <w:link w:val="6"/>
    <w:qFormat/>
    <w:uiPriority w:val="99"/>
    <w:rPr>
      <w:sz w:val="18"/>
      <w:szCs w:val="18"/>
    </w:rPr>
  </w:style>
  <w:style w:type="paragraph" w:customStyle="1" w:styleId="17">
    <w:name w:val="列出段落1"/>
    <w:basedOn w:val="1"/>
    <w:qFormat/>
    <w:uiPriority w:val="34"/>
    <w:pPr>
      <w:ind w:firstLine="420" w:firstLineChars="200"/>
    </w:pPr>
  </w:style>
  <w:style w:type="character" w:customStyle="1" w:styleId="18">
    <w:name w:val="标题 1 字符"/>
    <w:basedOn w:val="10"/>
    <w:link w:val="3"/>
    <w:qFormat/>
    <w:uiPriority w:val="9"/>
    <w:rPr>
      <w:rFonts w:asciiTheme="minorAscii" w:hAnsiTheme="minorAscii" w:eastAsiaTheme="minorEastAsia"/>
      <w:b/>
      <w:bCs/>
      <w:kern w:val="44"/>
      <w:sz w:val="32"/>
      <w:szCs w:val="44"/>
    </w:rPr>
  </w:style>
  <w:style w:type="character" w:customStyle="1" w:styleId="19">
    <w:name w:val="标题 2 字符"/>
    <w:basedOn w:val="10"/>
    <w:link w:val="4"/>
    <w:qFormat/>
    <w:uiPriority w:val="9"/>
    <w:rPr>
      <w:rFonts w:asciiTheme="majorAscii" w:hAnsiTheme="majorAscii" w:eastAsiaTheme="majorEastAsia" w:cstheme="majorBidi"/>
      <w:b/>
      <w:bCs/>
      <w:sz w:val="24"/>
      <w:szCs w:val="32"/>
    </w:rPr>
  </w:style>
  <w:style w:type="character" w:customStyle="1" w:styleId="20">
    <w:name w:val="标题 4 字符"/>
    <w:basedOn w:val="10"/>
    <w:link w:val="2"/>
    <w:qFormat/>
    <w:uiPriority w:val="9"/>
    <w:rPr>
      <w:rFonts w:asciiTheme="majorHAnsi" w:hAnsiTheme="majorHAnsi" w:eastAsiaTheme="majorEastAsia" w:cstheme="majorBidi"/>
      <w:b/>
      <w:bCs/>
      <w:sz w:val="28"/>
      <w:szCs w:val="28"/>
    </w:rPr>
  </w:style>
  <w:style w:type="character" w:customStyle="1" w:styleId="21">
    <w:name w:val="标题 3 字符"/>
    <w:basedOn w:val="10"/>
    <w:link w:val="5"/>
    <w:qFormat/>
    <w:uiPriority w:val="9"/>
    <w:rPr>
      <w:rFonts w:asciiTheme="minorAscii" w:hAnsiTheme="minorAscii" w:eastAsiaTheme="minorEastAsia"/>
      <w:b/>
      <w:bCs/>
      <w:sz w:val="24"/>
      <w:szCs w:val="32"/>
    </w:rPr>
  </w:style>
  <w:style w:type="paragraph" w:customStyle="1" w:styleId="22">
    <w:name w:val="列出段落2"/>
    <w:basedOn w:val="1"/>
    <w:qFormat/>
    <w:uiPriority w:val="34"/>
    <w:pPr>
      <w:ind w:firstLine="420" w:firstLineChars="200"/>
    </w:pPr>
  </w:style>
  <w:style w:type="character" w:customStyle="1" w:styleId="23">
    <w:name w:val="rich_media_meta_nickname"/>
    <w:basedOn w:val="10"/>
    <w:qFormat/>
    <w:uiPriority w:val="0"/>
    <w:rPr>
      <w:vanish/>
    </w:rPr>
  </w:style>
  <w:style w:type="character" w:customStyle="1" w:styleId="24">
    <w:name w:val="img_bg_cover"/>
    <w:basedOn w:val="10"/>
    <w:qFormat/>
    <w:uiPriority w:val="0"/>
  </w:style>
  <w:style w:type="character" w:customStyle="1" w:styleId="25">
    <w:name w:val="rich_media_meta_nickname1"/>
    <w:basedOn w:val="10"/>
    <w:qFormat/>
    <w:uiPriority w:val="0"/>
  </w:style>
  <w:style w:type="paragraph" w:customStyle="1" w:styleId="26">
    <w:name w:val="列出段落11"/>
    <w:basedOn w:val="1"/>
    <w:qFormat/>
    <w:uiPriority w:val="34"/>
    <w:pPr>
      <w:ind w:firstLine="420" w:firstLineChars="200"/>
    </w:pPr>
  </w:style>
  <w:style w:type="paragraph" w:styleId="27">
    <w:name w:val="List Paragraph"/>
    <w:basedOn w:val="1"/>
    <w:qFormat/>
    <w:uiPriority w:val="99"/>
    <w:pPr>
      <w:ind w:firstLine="420" w:firstLineChars="200"/>
    </w:pPr>
  </w:style>
  <w:style w:type="paragraph" w:customStyle="1" w:styleId="28">
    <w:name w:val="无间隔1"/>
    <w:qFormat/>
    <w:uiPriority w:val="1"/>
    <w:rPr>
      <w:rFonts w:ascii="Calibri" w:hAnsi="Calibri"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Pages>
  <Words>827</Words>
  <Characters>4716</Characters>
  <Lines>39</Lines>
  <Paragraphs>11</Paragraphs>
  <TotalTime>19</TotalTime>
  <ScaleCrop>false</ScaleCrop>
  <LinksUpToDate>false</LinksUpToDate>
  <CharactersWithSpaces>5532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2017-04-26T01:39:00Z</dcterms:created>
  <dc:creator>China</dc:creator>
  <cp:lastModifiedBy>Administrator</cp:lastModifiedBy>
  <dcterms:modified xsi:type="dcterms:W3CDTF">2018-05-09T02:22:58Z</dcterms:modified>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